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5"/>
      </w:tblGrid>
      <w:tr w:rsidR="00167F98" w:rsidRPr="00167F98" w14:paraId="05ABE385" w14:textId="77777777" w:rsidTr="00B7318F">
        <w:tc>
          <w:tcPr>
            <w:tcW w:w="5031" w:type="dxa"/>
          </w:tcPr>
          <w:p w14:paraId="3C4839CE" w14:textId="6DB9842D" w:rsidR="00B66316" w:rsidRPr="00167F98" w:rsidRDefault="00B66316" w:rsidP="00E46A28">
            <w:pPr>
              <w:rPr>
                <w:rFonts w:ascii="Arial" w:hAnsi="Arial" w:cs="Arial"/>
                <w:sz w:val="20"/>
              </w:rPr>
            </w:pPr>
            <w:r w:rsidRPr="00167F98">
              <w:rPr>
                <w:rFonts w:ascii="Arial" w:hAnsi="Arial" w:cs="Arial"/>
                <w:sz w:val="20"/>
              </w:rPr>
              <w:t>Zwischen</w:t>
            </w:r>
          </w:p>
          <w:p w14:paraId="39DE7757" w14:textId="77777777" w:rsidR="00B66316" w:rsidRDefault="00B66316" w:rsidP="00E46A28">
            <w:pPr>
              <w:rPr>
                <w:rFonts w:ascii="Arial" w:hAnsi="Arial" w:cs="Arial"/>
                <w:sz w:val="20"/>
              </w:rPr>
            </w:pPr>
          </w:p>
          <w:p w14:paraId="5677FBF8" w14:textId="77777777" w:rsidR="00E46A28" w:rsidRPr="00167F98" w:rsidRDefault="00E46A28" w:rsidP="00E46A28">
            <w:pPr>
              <w:rPr>
                <w:rFonts w:ascii="Arial" w:hAnsi="Arial" w:cs="Arial"/>
                <w:sz w:val="20"/>
              </w:rPr>
            </w:pPr>
          </w:p>
          <w:p w14:paraId="269526D7" w14:textId="0110B447" w:rsidR="00B66316" w:rsidRPr="00167F98" w:rsidRDefault="00B66316" w:rsidP="00410CB0">
            <w:pPr>
              <w:numPr>
                <w:ilvl w:val="0"/>
                <w:numId w:val="3"/>
              </w:numPr>
              <w:rPr>
                <w:rFonts w:ascii="Arial" w:hAnsi="Arial" w:cs="Arial"/>
                <w:b/>
                <w:caps/>
                <w:sz w:val="20"/>
              </w:rPr>
            </w:pPr>
            <w:r w:rsidRPr="00167F98">
              <w:rPr>
                <w:rFonts w:ascii="Arial" w:hAnsi="Arial" w:cs="Arial"/>
                <w:b/>
                <w:sz w:val="20"/>
              </w:rPr>
              <w:t>der</w:t>
            </w:r>
            <w:r w:rsidRPr="00167F98">
              <w:rPr>
                <w:rFonts w:ascii="Arial" w:hAnsi="Arial" w:cs="Arial"/>
                <w:sz w:val="20"/>
              </w:rPr>
              <w:tab/>
            </w:r>
            <w:r w:rsidRPr="00167F98">
              <w:rPr>
                <w:rFonts w:ascii="Arial" w:hAnsi="Arial" w:cs="Arial"/>
                <w:b/>
                <w:caps/>
                <w:sz w:val="20"/>
              </w:rPr>
              <w:t>Kayser Unternehmensgruppe</w:t>
            </w:r>
          </w:p>
          <w:p w14:paraId="42FFBE9A" w14:textId="77777777" w:rsidR="00B66316" w:rsidRPr="00167F98" w:rsidRDefault="00B66316" w:rsidP="00E46A28">
            <w:pPr>
              <w:ind w:left="2124"/>
              <w:rPr>
                <w:rFonts w:ascii="Arial" w:hAnsi="Arial" w:cs="Arial"/>
                <w:sz w:val="20"/>
              </w:rPr>
            </w:pPr>
          </w:p>
          <w:p w14:paraId="683FF222" w14:textId="77777777" w:rsidR="00AB1B21" w:rsidRPr="00167F98" w:rsidRDefault="00B66316" w:rsidP="00E46A28">
            <w:pPr>
              <w:rPr>
                <w:rFonts w:ascii="Arial" w:hAnsi="Arial" w:cs="Arial"/>
                <w:sz w:val="20"/>
              </w:rPr>
            </w:pPr>
            <w:r w:rsidRPr="00167F98">
              <w:rPr>
                <w:rFonts w:ascii="Arial" w:hAnsi="Arial" w:cs="Arial"/>
                <w:sz w:val="20"/>
              </w:rPr>
              <w:t>bestehend aus den Unternehmen:</w:t>
            </w:r>
          </w:p>
          <w:p w14:paraId="7838FA89" w14:textId="77777777" w:rsidR="00B7318F" w:rsidRPr="00167F98" w:rsidRDefault="00B7318F" w:rsidP="00E46A28">
            <w:pPr>
              <w:ind w:left="1416"/>
              <w:rPr>
                <w:rFonts w:ascii="Arial" w:hAnsi="Arial" w:cs="Arial"/>
                <w:sz w:val="20"/>
              </w:rPr>
            </w:pPr>
          </w:p>
        </w:tc>
        <w:tc>
          <w:tcPr>
            <w:tcW w:w="5031" w:type="dxa"/>
          </w:tcPr>
          <w:p w14:paraId="3CF04119" w14:textId="77777777" w:rsidR="0055145F" w:rsidRDefault="0055145F" w:rsidP="00E46A28">
            <w:pPr>
              <w:rPr>
                <w:rFonts w:ascii="Arial" w:hAnsi="Arial"/>
                <w:sz w:val="20"/>
                <w:lang w:val="en-GB"/>
              </w:rPr>
            </w:pPr>
            <w:r w:rsidRPr="00167F98">
              <w:rPr>
                <w:rFonts w:ascii="Arial" w:hAnsi="Arial"/>
                <w:sz w:val="20"/>
                <w:lang w:val="en-GB"/>
              </w:rPr>
              <w:t xml:space="preserve">Between </w:t>
            </w:r>
          </w:p>
          <w:p w14:paraId="2E552C5F" w14:textId="77777777" w:rsidR="00E46A28" w:rsidRPr="00167F98" w:rsidRDefault="00E46A28" w:rsidP="00E46A28">
            <w:pPr>
              <w:rPr>
                <w:rFonts w:ascii="Arial" w:hAnsi="Arial"/>
                <w:sz w:val="20"/>
                <w:lang w:val="en-GB"/>
              </w:rPr>
            </w:pPr>
          </w:p>
          <w:p w14:paraId="67FE2223" w14:textId="77777777" w:rsidR="0055145F" w:rsidRPr="00167F98" w:rsidRDefault="0055145F" w:rsidP="00E46A28">
            <w:pPr>
              <w:rPr>
                <w:rFonts w:ascii="Arial" w:hAnsi="Arial"/>
                <w:sz w:val="20"/>
                <w:lang w:val="en-GB"/>
              </w:rPr>
            </w:pPr>
          </w:p>
          <w:p w14:paraId="1B70928D" w14:textId="540A2FB6" w:rsidR="0055145F" w:rsidRPr="00E46A28" w:rsidRDefault="0055145F" w:rsidP="00410CB0">
            <w:pPr>
              <w:numPr>
                <w:ilvl w:val="0"/>
                <w:numId w:val="13"/>
              </w:numPr>
              <w:rPr>
                <w:rFonts w:ascii="Arial" w:hAnsi="Arial"/>
                <w:b/>
                <w:caps/>
                <w:sz w:val="20"/>
                <w:lang w:val="en-GB"/>
              </w:rPr>
            </w:pPr>
            <w:r w:rsidRPr="00E46A28">
              <w:rPr>
                <w:rFonts w:ascii="Arial" w:hAnsi="Arial"/>
                <w:b/>
                <w:caps/>
                <w:sz w:val="20"/>
                <w:lang w:val="en-GB"/>
              </w:rPr>
              <w:t xml:space="preserve">Kayser GROUP </w:t>
            </w:r>
          </w:p>
          <w:p w14:paraId="48B2EC09" w14:textId="77777777" w:rsidR="0055145F" w:rsidRPr="00167F98" w:rsidRDefault="0055145F" w:rsidP="00E46A28">
            <w:pPr>
              <w:rPr>
                <w:rFonts w:ascii="Arial" w:hAnsi="Arial"/>
                <w:b/>
                <w:caps/>
                <w:sz w:val="20"/>
                <w:lang w:val="en-GB"/>
              </w:rPr>
            </w:pPr>
          </w:p>
          <w:p w14:paraId="1315F3AF" w14:textId="77777777" w:rsidR="0055145F" w:rsidRPr="00167F98" w:rsidRDefault="0055145F" w:rsidP="00E46A28">
            <w:pPr>
              <w:rPr>
                <w:rFonts w:ascii="Arial" w:hAnsi="Arial"/>
                <w:b/>
                <w:caps/>
                <w:sz w:val="20"/>
                <w:lang w:val="en-GB"/>
              </w:rPr>
            </w:pPr>
          </w:p>
          <w:p w14:paraId="4C322EF4" w14:textId="77777777" w:rsidR="00AB1B21" w:rsidRPr="00167F98" w:rsidRDefault="0055145F" w:rsidP="00E46A28">
            <w:pPr>
              <w:rPr>
                <w:rFonts w:ascii="Arial" w:hAnsi="Arial" w:cs="Arial"/>
                <w:sz w:val="20"/>
                <w:szCs w:val="24"/>
                <w:lang w:val="en-GB"/>
              </w:rPr>
            </w:pPr>
            <w:r w:rsidRPr="00167F98">
              <w:rPr>
                <w:rFonts w:ascii="Arial" w:hAnsi="Arial" w:cs="Arial"/>
                <w:sz w:val="20"/>
                <w:szCs w:val="24"/>
                <w:lang w:val="en-GB"/>
              </w:rPr>
              <w:t>comprising the companies:</w:t>
            </w:r>
          </w:p>
          <w:p w14:paraId="3C403130" w14:textId="77777777" w:rsidR="00B7318F" w:rsidRPr="00167F98" w:rsidRDefault="00B7318F" w:rsidP="00E46A28">
            <w:pPr>
              <w:ind w:left="1416"/>
              <w:rPr>
                <w:rFonts w:ascii="Arial" w:hAnsi="Arial" w:cs="Arial"/>
                <w:sz w:val="20"/>
              </w:rPr>
            </w:pPr>
          </w:p>
        </w:tc>
      </w:tr>
      <w:tr w:rsidR="00167F98" w:rsidRPr="00167F98" w14:paraId="71A88BE0" w14:textId="77777777" w:rsidTr="00B7318F">
        <w:tc>
          <w:tcPr>
            <w:tcW w:w="5031" w:type="dxa"/>
          </w:tcPr>
          <w:p w14:paraId="2E441A11" w14:textId="77777777" w:rsidR="00B66316" w:rsidRPr="00E46A28" w:rsidRDefault="00B66316" w:rsidP="00E46A28">
            <w:pPr>
              <w:rPr>
                <w:rFonts w:ascii="Arial" w:hAnsi="Arial" w:cs="Arial"/>
                <w:b/>
                <w:sz w:val="18"/>
                <w:szCs w:val="18"/>
              </w:rPr>
            </w:pPr>
            <w:r w:rsidRPr="00E46A28">
              <w:rPr>
                <w:rFonts w:ascii="Arial" w:hAnsi="Arial" w:cs="Arial"/>
                <w:b/>
                <w:bCs/>
                <w:sz w:val="18"/>
                <w:szCs w:val="18"/>
              </w:rPr>
              <w:t>A. KAYSER AUTOMOTIVE SYSTEMS GmbH</w:t>
            </w:r>
          </w:p>
          <w:p w14:paraId="05A8D339" w14:textId="77777777" w:rsidR="00B66316" w:rsidRPr="00E46A28" w:rsidRDefault="00B66316" w:rsidP="00E46A28">
            <w:pPr>
              <w:rPr>
                <w:rFonts w:ascii="Arial" w:hAnsi="Arial" w:cs="Arial"/>
                <w:sz w:val="18"/>
                <w:szCs w:val="18"/>
              </w:rPr>
            </w:pPr>
            <w:proofErr w:type="spellStart"/>
            <w:r w:rsidRPr="00E46A28">
              <w:rPr>
                <w:rFonts w:ascii="Arial" w:hAnsi="Arial" w:cs="Arial"/>
                <w:sz w:val="18"/>
                <w:szCs w:val="18"/>
              </w:rPr>
              <w:t>Hullerser</w:t>
            </w:r>
            <w:proofErr w:type="spellEnd"/>
            <w:r w:rsidRPr="00E46A28">
              <w:rPr>
                <w:rFonts w:ascii="Arial" w:hAnsi="Arial" w:cs="Arial"/>
                <w:sz w:val="18"/>
                <w:szCs w:val="18"/>
              </w:rPr>
              <w:t xml:space="preserve"> Landstraße 43</w:t>
            </w:r>
          </w:p>
          <w:p w14:paraId="38BBEB67" w14:textId="77777777" w:rsidR="00B66316" w:rsidRPr="00E46A28" w:rsidRDefault="00B66316" w:rsidP="00E46A28">
            <w:pPr>
              <w:rPr>
                <w:rFonts w:ascii="Arial" w:hAnsi="Arial" w:cs="Arial"/>
                <w:sz w:val="18"/>
                <w:szCs w:val="18"/>
              </w:rPr>
            </w:pPr>
            <w:r w:rsidRPr="00E46A28">
              <w:rPr>
                <w:rFonts w:ascii="Arial" w:hAnsi="Arial" w:cs="Arial"/>
                <w:sz w:val="18"/>
                <w:szCs w:val="18"/>
              </w:rPr>
              <w:t>D - 37574 Einbeck</w:t>
            </w:r>
          </w:p>
          <w:p w14:paraId="1C42A304" w14:textId="77777777" w:rsidR="00B66316" w:rsidRPr="00E46A28" w:rsidRDefault="00B66316" w:rsidP="00E46A28">
            <w:pPr>
              <w:rPr>
                <w:rFonts w:ascii="Arial" w:hAnsi="Arial" w:cs="Arial"/>
                <w:sz w:val="18"/>
                <w:szCs w:val="18"/>
              </w:rPr>
            </w:pPr>
          </w:p>
        </w:tc>
        <w:tc>
          <w:tcPr>
            <w:tcW w:w="5031" w:type="dxa"/>
          </w:tcPr>
          <w:p w14:paraId="437486B4" w14:textId="77777777" w:rsidR="00B66316" w:rsidRPr="00E46A28" w:rsidRDefault="00B66316" w:rsidP="00E46A28">
            <w:pPr>
              <w:rPr>
                <w:rFonts w:ascii="Arial" w:hAnsi="Arial" w:cs="Arial"/>
                <w:b/>
                <w:sz w:val="18"/>
                <w:szCs w:val="18"/>
                <w:lang w:val="en-US"/>
              </w:rPr>
            </w:pPr>
            <w:r w:rsidRPr="00E46A28">
              <w:rPr>
                <w:rFonts w:ascii="Arial" w:hAnsi="Arial" w:cs="Arial"/>
                <w:b/>
                <w:bCs/>
                <w:sz w:val="18"/>
                <w:szCs w:val="18"/>
                <w:lang w:val="en-US"/>
              </w:rPr>
              <w:t xml:space="preserve">KAYSER AUTOMOTIVE SYSTEMS S </w:t>
            </w:r>
            <w:proofErr w:type="spellStart"/>
            <w:r w:rsidRPr="00E46A28">
              <w:rPr>
                <w:rFonts w:ascii="Arial" w:hAnsi="Arial" w:cs="Arial"/>
                <w:b/>
                <w:bCs/>
                <w:sz w:val="18"/>
                <w:szCs w:val="18"/>
                <w:lang w:val="en-US"/>
              </w:rPr>
              <w:t>en</w:t>
            </w:r>
            <w:proofErr w:type="spellEnd"/>
            <w:r w:rsidRPr="00E46A28">
              <w:rPr>
                <w:rFonts w:ascii="Arial" w:hAnsi="Arial" w:cs="Arial"/>
                <w:b/>
                <w:bCs/>
                <w:sz w:val="18"/>
                <w:szCs w:val="18"/>
                <w:lang w:val="en-US"/>
              </w:rPr>
              <w:t xml:space="preserve"> C.</w:t>
            </w:r>
          </w:p>
          <w:p w14:paraId="68606E58"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 xml:space="preserve">Rio </w:t>
            </w:r>
            <w:proofErr w:type="spellStart"/>
            <w:r w:rsidRPr="00E46A28">
              <w:rPr>
                <w:rFonts w:ascii="Arial" w:hAnsi="Arial" w:cs="Arial"/>
                <w:sz w:val="18"/>
                <w:szCs w:val="18"/>
                <w:lang w:val="en-GB"/>
              </w:rPr>
              <w:t>Papaloapan</w:t>
            </w:r>
            <w:proofErr w:type="spellEnd"/>
            <w:r w:rsidRPr="00E46A28">
              <w:rPr>
                <w:rFonts w:ascii="Arial" w:hAnsi="Arial" w:cs="Arial"/>
                <w:sz w:val="18"/>
                <w:szCs w:val="18"/>
                <w:lang w:val="en-GB"/>
              </w:rPr>
              <w:t xml:space="preserve"> # 27</w:t>
            </w:r>
          </w:p>
          <w:p w14:paraId="567626B2"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 xml:space="preserve">Corredor Empresarial </w:t>
            </w:r>
            <w:proofErr w:type="spellStart"/>
            <w:r w:rsidRPr="00E46A28">
              <w:rPr>
                <w:rFonts w:ascii="Arial" w:hAnsi="Arial" w:cs="Arial"/>
                <w:sz w:val="18"/>
                <w:szCs w:val="18"/>
                <w:lang w:val="en-GB"/>
              </w:rPr>
              <w:t>Cuautlancingo</w:t>
            </w:r>
            <w:proofErr w:type="spellEnd"/>
            <w:r w:rsidRPr="00E46A28">
              <w:rPr>
                <w:rFonts w:ascii="Arial" w:hAnsi="Arial" w:cs="Arial"/>
                <w:sz w:val="18"/>
                <w:szCs w:val="18"/>
                <w:lang w:val="en-GB"/>
              </w:rPr>
              <w:t xml:space="preserve"> A.C.</w:t>
            </w:r>
          </w:p>
          <w:p w14:paraId="0DB756C1"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C.P. - 727</w:t>
            </w:r>
            <w:r w:rsidR="009C5E83" w:rsidRPr="00E46A28">
              <w:rPr>
                <w:rFonts w:ascii="Arial" w:hAnsi="Arial" w:cs="Arial"/>
                <w:sz w:val="18"/>
                <w:szCs w:val="18"/>
                <w:lang w:val="en-GB"/>
              </w:rPr>
              <w:t>1</w:t>
            </w:r>
            <w:r w:rsidRPr="00E46A28">
              <w:rPr>
                <w:rFonts w:ascii="Arial" w:hAnsi="Arial" w:cs="Arial"/>
                <w:sz w:val="18"/>
                <w:szCs w:val="18"/>
                <w:lang w:val="en-GB"/>
              </w:rPr>
              <w:t xml:space="preserve">0 </w:t>
            </w:r>
            <w:proofErr w:type="spellStart"/>
            <w:r w:rsidRPr="00E46A28">
              <w:rPr>
                <w:rFonts w:ascii="Arial" w:hAnsi="Arial" w:cs="Arial"/>
                <w:sz w:val="18"/>
                <w:szCs w:val="18"/>
                <w:lang w:val="en-GB"/>
              </w:rPr>
              <w:t>Cuautlancingo</w:t>
            </w:r>
            <w:proofErr w:type="spellEnd"/>
            <w:r w:rsidRPr="00E46A28">
              <w:rPr>
                <w:rFonts w:ascii="Arial" w:hAnsi="Arial" w:cs="Arial"/>
                <w:sz w:val="18"/>
                <w:szCs w:val="18"/>
                <w:lang w:val="en-GB"/>
              </w:rPr>
              <w:t>, Puebla</w:t>
            </w:r>
          </w:p>
          <w:p w14:paraId="4D87E6A8" w14:textId="77777777" w:rsidR="00B66316" w:rsidRPr="00E46A28" w:rsidRDefault="00B66316" w:rsidP="00E46A28">
            <w:pPr>
              <w:rPr>
                <w:rFonts w:ascii="Arial" w:hAnsi="Arial" w:cs="Arial"/>
                <w:sz w:val="18"/>
                <w:szCs w:val="18"/>
              </w:rPr>
            </w:pPr>
          </w:p>
        </w:tc>
      </w:tr>
      <w:tr w:rsidR="00167F98" w:rsidRPr="00167F98" w14:paraId="40BFEE5C" w14:textId="77777777" w:rsidTr="00B7318F">
        <w:tc>
          <w:tcPr>
            <w:tcW w:w="5031" w:type="dxa"/>
          </w:tcPr>
          <w:p w14:paraId="6A0B1033" w14:textId="77777777" w:rsidR="00B66316" w:rsidRPr="00E46A28" w:rsidRDefault="00B66316" w:rsidP="00E46A28">
            <w:pPr>
              <w:rPr>
                <w:rFonts w:ascii="Arial" w:hAnsi="Arial" w:cs="Arial"/>
                <w:b/>
                <w:sz w:val="18"/>
                <w:szCs w:val="18"/>
                <w:lang w:val="en-US"/>
              </w:rPr>
            </w:pPr>
            <w:r w:rsidRPr="00E46A28">
              <w:rPr>
                <w:rFonts w:ascii="Arial" w:hAnsi="Arial" w:cs="Arial"/>
                <w:b/>
                <w:bCs/>
                <w:sz w:val="18"/>
                <w:szCs w:val="18"/>
                <w:lang w:val="en-GB"/>
              </w:rPr>
              <w:t xml:space="preserve">A. KAYSER AUTOMOTIVE SYSTEMS GmbH u. Co. </w:t>
            </w:r>
            <w:r w:rsidRPr="00E46A28">
              <w:rPr>
                <w:rFonts w:ascii="Arial" w:hAnsi="Arial" w:cs="Arial"/>
                <w:b/>
                <w:bCs/>
                <w:sz w:val="18"/>
                <w:szCs w:val="18"/>
                <w:lang w:val="en-US"/>
              </w:rPr>
              <w:t>KG</w:t>
            </w:r>
          </w:p>
          <w:p w14:paraId="4579703C" w14:textId="77777777" w:rsidR="00B66316" w:rsidRPr="00E46A28" w:rsidRDefault="00B66316" w:rsidP="00E46A28">
            <w:pPr>
              <w:rPr>
                <w:rFonts w:ascii="Arial" w:hAnsi="Arial" w:cs="Arial"/>
                <w:sz w:val="18"/>
                <w:szCs w:val="18"/>
              </w:rPr>
            </w:pPr>
            <w:r w:rsidRPr="00E46A28">
              <w:rPr>
                <w:rFonts w:ascii="Arial" w:hAnsi="Arial" w:cs="Arial"/>
                <w:sz w:val="18"/>
                <w:szCs w:val="18"/>
              </w:rPr>
              <w:t>Siemensstraße 5</w:t>
            </w:r>
          </w:p>
          <w:p w14:paraId="5ED3835D" w14:textId="77777777" w:rsidR="00B66316" w:rsidRPr="00E46A28" w:rsidRDefault="00B66316" w:rsidP="00E46A28">
            <w:pPr>
              <w:rPr>
                <w:rFonts w:ascii="Arial" w:hAnsi="Arial" w:cs="Arial"/>
                <w:sz w:val="18"/>
                <w:szCs w:val="18"/>
              </w:rPr>
            </w:pPr>
            <w:r w:rsidRPr="00E46A28">
              <w:rPr>
                <w:rFonts w:ascii="Arial" w:hAnsi="Arial" w:cs="Arial"/>
                <w:sz w:val="18"/>
                <w:szCs w:val="18"/>
              </w:rPr>
              <w:t>D - 08371 Glauchau</w:t>
            </w:r>
          </w:p>
          <w:p w14:paraId="73637141" w14:textId="77777777" w:rsidR="00B66316" w:rsidRPr="00E46A28" w:rsidRDefault="00B66316" w:rsidP="00E46A28">
            <w:pPr>
              <w:pStyle w:val="StandardDEEN"/>
              <w:jc w:val="left"/>
              <w:rPr>
                <w:sz w:val="18"/>
                <w:szCs w:val="18"/>
              </w:rPr>
            </w:pPr>
          </w:p>
        </w:tc>
        <w:tc>
          <w:tcPr>
            <w:tcW w:w="5031" w:type="dxa"/>
          </w:tcPr>
          <w:p w14:paraId="48FCCF16" w14:textId="77777777" w:rsidR="00B66316" w:rsidRPr="00E46A28" w:rsidRDefault="00B66316" w:rsidP="00E46A28">
            <w:pPr>
              <w:rPr>
                <w:rFonts w:ascii="Arial" w:hAnsi="Arial" w:cs="Arial"/>
                <w:b/>
                <w:sz w:val="18"/>
                <w:szCs w:val="18"/>
              </w:rPr>
            </w:pPr>
            <w:r w:rsidRPr="00E46A28">
              <w:rPr>
                <w:rFonts w:ascii="Arial" w:hAnsi="Arial" w:cs="Arial"/>
                <w:b/>
                <w:bCs/>
                <w:sz w:val="18"/>
                <w:szCs w:val="18"/>
              </w:rPr>
              <w:t xml:space="preserve">KAYSER AUTOMOTIVE HUNGÁRIA </w:t>
            </w:r>
            <w:proofErr w:type="spellStart"/>
            <w:r w:rsidRPr="00E46A28">
              <w:rPr>
                <w:rFonts w:ascii="Arial" w:hAnsi="Arial" w:cs="Arial"/>
                <w:b/>
                <w:bCs/>
                <w:sz w:val="18"/>
                <w:szCs w:val="18"/>
              </w:rPr>
              <w:t>Kft</w:t>
            </w:r>
            <w:proofErr w:type="spellEnd"/>
            <w:r w:rsidRPr="00E46A28">
              <w:rPr>
                <w:rFonts w:ascii="Arial" w:hAnsi="Arial" w:cs="Arial"/>
                <w:b/>
                <w:bCs/>
                <w:sz w:val="18"/>
                <w:szCs w:val="18"/>
              </w:rPr>
              <w:t>.</w:t>
            </w:r>
          </w:p>
          <w:p w14:paraId="25A15E3A" w14:textId="77777777" w:rsidR="00B66316" w:rsidRPr="00E46A28" w:rsidRDefault="00B66316" w:rsidP="00E46A28">
            <w:pPr>
              <w:rPr>
                <w:rFonts w:ascii="Arial" w:hAnsi="Arial" w:cs="Arial"/>
                <w:sz w:val="18"/>
                <w:szCs w:val="18"/>
              </w:rPr>
            </w:pPr>
            <w:r w:rsidRPr="00E46A28">
              <w:rPr>
                <w:rFonts w:ascii="Arial" w:hAnsi="Arial" w:cs="Arial"/>
                <w:sz w:val="18"/>
                <w:szCs w:val="18"/>
              </w:rPr>
              <w:t xml:space="preserve">H - 2900 </w:t>
            </w:r>
            <w:proofErr w:type="spellStart"/>
            <w:r w:rsidRPr="00E46A28">
              <w:rPr>
                <w:rFonts w:ascii="Arial" w:hAnsi="Arial" w:cs="Arial"/>
                <w:sz w:val="18"/>
                <w:szCs w:val="18"/>
              </w:rPr>
              <w:t>Komárom</w:t>
            </w:r>
            <w:proofErr w:type="spellEnd"/>
          </w:p>
          <w:p w14:paraId="3AA8ABBD" w14:textId="77777777" w:rsidR="00B66316" w:rsidRPr="00E46A28" w:rsidRDefault="00B66316" w:rsidP="00E46A28">
            <w:pPr>
              <w:rPr>
                <w:rFonts w:ascii="Arial" w:hAnsi="Arial" w:cs="Arial"/>
                <w:sz w:val="18"/>
                <w:szCs w:val="18"/>
              </w:rPr>
            </w:pPr>
            <w:proofErr w:type="spellStart"/>
            <w:r w:rsidRPr="00E46A28">
              <w:rPr>
                <w:rFonts w:ascii="Arial" w:hAnsi="Arial" w:cs="Arial"/>
                <w:sz w:val="18"/>
                <w:szCs w:val="18"/>
              </w:rPr>
              <w:t>Bánki</w:t>
            </w:r>
            <w:proofErr w:type="spellEnd"/>
            <w:r w:rsidRPr="00E46A28">
              <w:rPr>
                <w:rFonts w:ascii="Arial" w:hAnsi="Arial" w:cs="Arial"/>
                <w:sz w:val="18"/>
                <w:szCs w:val="18"/>
              </w:rPr>
              <w:t xml:space="preserve"> </w:t>
            </w:r>
            <w:proofErr w:type="spellStart"/>
            <w:r w:rsidRPr="00E46A28">
              <w:rPr>
                <w:rFonts w:ascii="Arial" w:hAnsi="Arial" w:cs="Arial"/>
                <w:sz w:val="18"/>
                <w:szCs w:val="18"/>
              </w:rPr>
              <w:t>Donát</w:t>
            </w:r>
            <w:proofErr w:type="spellEnd"/>
            <w:r w:rsidRPr="00E46A28">
              <w:rPr>
                <w:rFonts w:ascii="Arial" w:hAnsi="Arial" w:cs="Arial"/>
                <w:sz w:val="18"/>
                <w:szCs w:val="18"/>
              </w:rPr>
              <w:t xml:space="preserve"> </w:t>
            </w:r>
            <w:proofErr w:type="spellStart"/>
            <w:r w:rsidRPr="00E46A28">
              <w:rPr>
                <w:rFonts w:ascii="Arial" w:hAnsi="Arial" w:cs="Arial"/>
                <w:sz w:val="18"/>
                <w:szCs w:val="18"/>
              </w:rPr>
              <w:t>út</w:t>
            </w:r>
            <w:proofErr w:type="spellEnd"/>
            <w:r w:rsidRPr="00E46A28">
              <w:rPr>
                <w:rFonts w:ascii="Arial" w:hAnsi="Arial" w:cs="Arial"/>
                <w:sz w:val="18"/>
                <w:szCs w:val="18"/>
              </w:rPr>
              <w:t xml:space="preserve"> 5.</w:t>
            </w:r>
          </w:p>
          <w:p w14:paraId="73D1553D" w14:textId="77777777" w:rsidR="00B66316" w:rsidRPr="00E46A28" w:rsidRDefault="00B66316" w:rsidP="00E46A28">
            <w:pPr>
              <w:rPr>
                <w:rFonts w:ascii="Arial" w:hAnsi="Arial" w:cs="Arial"/>
                <w:sz w:val="18"/>
                <w:szCs w:val="18"/>
              </w:rPr>
            </w:pPr>
          </w:p>
        </w:tc>
      </w:tr>
      <w:tr w:rsidR="00167F98" w:rsidRPr="00167F98" w14:paraId="58210818" w14:textId="77777777" w:rsidTr="00B7318F">
        <w:tc>
          <w:tcPr>
            <w:tcW w:w="5031" w:type="dxa"/>
          </w:tcPr>
          <w:p w14:paraId="1E281A2A" w14:textId="77777777" w:rsidR="00B66316" w:rsidRPr="00E46A28" w:rsidRDefault="00B66316" w:rsidP="00E46A28">
            <w:pPr>
              <w:rPr>
                <w:rFonts w:ascii="Arial" w:hAnsi="Arial" w:cs="Arial"/>
                <w:b/>
                <w:sz w:val="18"/>
                <w:szCs w:val="18"/>
                <w:lang w:val="en-US"/>
              </w:rPr>
            </w:pPr>
            <w:r w:rsidRPr="00E46A28">
              <w:rPr>
                <w:rFonts w:ascii="Arial" w:hAnsi="Arial" w:cs="Arial"/>
                <w:b/>
                <w:bCs/>
                <w:sz w:val="18"/>
                <w:szCs w:val="18"/>
                <w:lang w:val="en-US"/>
              </w:rPr>
              <w:t xml:space="preserve">A. KAYSER AUTOMOTIVE SYSTEMS Polska Sp. z </w:t>
            </w:r>
            <w:proofErr w:type="spellStart"/>
            <w:r w:rsidRPr="00E46A28">
              <w:rPr>
                <w:rFonts w:ascii="Arial" w:hAnsi="Arial" w:cs="Arial"/>
                <w:b/>
                <w:bCs/>
                <w:sz w:val="18"/>
                <w:szCs w:val="18"/>
                <w:lang w:val="en-US"/>
              </w:rPr>
              <w:t>o.o.</w:t>
            </w:r>
            <w:proofErr w:type="spellEnd"/>
          </w:p>
          <w:p w14:paraId="03806F77" w14:textId="77777777" w:rsidR="00B66316" w:rsidRPr="00E46A28" w:rsidRDefault="00B66316" w:rsidP="00E46A28">
            <w:pPr>
              <w:rPr>
                <w:rFonts w:ascii="Arial" w:hAnsi="Arial" w:cs="Arial"/>
                <w:sz w:val="18"/>
                <w:szCs w:val="18"/>
                <w:lang w:val="en-US"/>
              </w:rPr>
            </w:pPr>
            <w:proofErr w:type="spellStart"/>
            <w:r w:rsidRPr="00E46A28">
              <w:rPr>
                <w:rFonts w:ascii="Arial" w:hAnsi="Arial" w:cs="Arial"/>
                <w:sz w:val="18"/>
                <w:szCs w:val="18"/>
                <w:lang w:val="en-US"/>
              </w:rPr>
              <w:t>ul</w:t>
            </w:r>
            <w:proofErr w:type="spellEnd"/>
            <w:r w:rsidRPr="00E46A28">
              <w:rPr>
                <w:rFonts w:ascii="Arial" w:hAnsi="Arial" w:cs="Arial"/>
                <w:sz w:val="18"/>
                <w:szCs w:val="18"/>
                <w:lang w:val="en-US"/>
              </w:rPr>
              <w:t xml:space="preserve">. </w:t>
            </w:r>
            <w:proofErr w:type="spellStart"/>
            <w:r w:rsidRPr="00E46A28">
              <w:rPr>
                <w:rFonts w:ascii="Arial" w:hAnsi="Arial" w:cs="Arial"/>
                <w:sz w:val="18"/>
                <w:szCs w:val="18"/>
                <w:lang w:val="en-US"/>
              </w:rPr>
              <w:t>Skosna</w:t>
            </w:r>
            <w:proofErr w:type="spellEnd"/>
            <w:r w:rsidRPr="00E46A28">
              <w:rPr>
                <w:rFonts w:ascii="Arial" w:hAnsi="Arial" w:cs="Arial"/>
                <w:sz w:val="18"/>
                <w:szCs w:val="18"/>
                <w:lang w:val="en-US"/>
              </w:rPr>
              <w:t xml:space="preserve"> 16, </w:t>
            </w:r>
            <w:proofErr w:type="spellStart"/>
            <w:r w:rsidRPr="00E46A28">
              <w:rPr>
                <w:rFonts w:ascii="Arial" w:hAnsi="Arial" w:cs="Arial"/>
                <w:sz w:val="18"/>
                <w:szCs w:val="18"/>
                <w:lang w:val="en-US"/>
              </w:rPr>
              <w:t>Batorowo</w:t>
            </w:r>
            <w:proofErr w:type="spellEnd"/>
          </w:p>
          <w:p w14:paraId="7140D02A"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 xml:space="preserve">PL - 62-080 </w:t>
            </w:r>
            <w:proofErr w:type="spellStart"/>
            <w:r w:rsidRPr="00E46A28">
              <w:rPr>
                <w:rFonts w:ascii="Arial" w:hAnsi="Arial" w:cs="Arial"/>
                <w:sz w:val="18"/>
                <w:szCs w:val="18"/>
                <w:lang w:val="en-GB"/>
              </w:rPr>
              <w:t>Tarnowo</w:t>
            </w:r>
            <w:proofErr w:type="spellEnd"/>
            <w:r w:rsidRPr="00E46A28">
              <w:rPr>
                <w:rFonts w:ascii="Arial" w:hAnsi="Arial" w:cs="Arial"/>
                <w:sz w:val="18"/>
                <w:szCs w:val="18"/>
                <w:lang w:val="en-GB"/>
              </w:rPr>
              <w:t xml:space="preserve"> </w:t>
            </w:r>
            <w:proofErr w:type="spellStart"/>
            <w:r w:rsidRPr="00E46A28">
              <w:rPr>
                <w:rFonts w:ascii="Arial" w:hAnsi="Arial" w:cs="Arial"/>
                <w:sz w:val="18"/>
                <w:szCs w:val="18"/>
                <w:lang w:val="en-GB"/>
              </w:rPr>
              <w:t>Podgórne</w:t>
            </w:r>
            <w:proofErr w:type="spellEnd"/>
          </w:p>
          <w:p w14:paraId="5E7ED457" w14:textId="77777777" w:rsidR="00B66316" w:rsidRPr="00E46A28" w:rsidRDefault="00B66316" w:rsidP="00E46A28">
            <w:pPr>
              <w:pStyle w:val="StandardDEEN"/>
              <w:jc w:val="left"/>
              <w:rPr>
                <w:sz w:val="18"/>
                <w:szCs w:val="18"/>
                <w:lang w:val="en-US"/>
              </w:rPr>
            </w:pPr>
          </w:p>
        </w:tc>
        <w:tc>
          <w:tcPr>
            <w:tcW w:w="5031" w:type="dxa"/>
          </w:tcPr>
          <w:p w14:paraId="42A4FBD3" w14:textId="77777777" w:rsidR="00B66316" w:rsidRPr="00E46A28" w:rsidRDefault="00B66316" w:rsidP="00E46A28">
            <w:pPr>
              <w:rPr>
                <w:rFonts w:ascii="Arial" w:hAnsi="Arial" w:cs="Arial"/>
                <w:b/>
                <w:sz w:val="18"/>
                <w:szCs w:val="18"/>
                <w:lang w:val="en-GB"/>
              </w:rPr>
            </w:pPr>
            <w:r w:rsidRPr="00E46A28">
              <w:rPr>
                <w:rFonts w:ascii="Arial" w:hAnsi="Arial" w:cs="Arial"/>
                <w:b/>
                <w:bCs/>
                <w:sz w:val="18"/>
                <w:szCs w:val="18"/>
                <w:lang w:val="en-GB"/>
              </w:rPr>
              <w:t>KAYSER AUTOMOTIVE SYSTEMS Co., Ltd.</w:t>
            </w:r>
          </w:p>
          <w:p w14:paraId="4E5DAEE9"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12A, Gang Tian Industrial Square</w:t>
            </w:r>
          </w:p>
          <w:p w14:paraId="7B0BF1A4" w14:textId="77777777" w:rsidR="00B66316" w:rsidRPr="00E46A28" w:rsidRDefault="00B66316" w:rsidP="00E46A28">
            <w:pPr>
              <w:rPr>
                <w:rFonts w:ascii="Arial" w:hAnsi="Arial" w:cs="Arial"/>
                <w:sz w:val="18"/>
                <w:szCs w:val="18"/>
                <w:lang w:val="en-US"/>
              </w:rPr>
            </w:pPr>
            <w:r w:rsidRPr="00E46A28">
              <w:rPr>
                <w:rFonts w:ascii="Arial" w:hAnsi="Arial" w:cs="Arial"/>
                <w:sz w:val="18"/>
                <w:szCs w:val="18"/>
                <w:lang w:val="en-US"/>
              </w:rPr>
              <w:t>Gang Tian Road, Suzhou Industrial Park</w:t>
            </w:r>
          </w:p>
          <w:p w14:paraId="144207FB" w14:textId="77777777" w:rsidR="00B66316" w:rsidRPr="00E46A28" w:rsidRDefault="00B66316" w:rsidP="00E46A28">
            <w:pPr>
              <w:rPr>
                <w:rFonts w:ascii="Arial" w:hAnsi="Arial" w:cs="Arial"/>
                <w:sz w:val="18"/>
                <w:szCs w:val="18"/>
              </w:rPr>
            </w:pPr>
            <w:r w:rsidRPr="00E46A28">
              <w:rPr>
                <w:rFonts w:ascii="Arial" w:hAnsi="Arial" w:cs="Arial"/>
                <w:sz w:val="18"/>
                <w:szCs w:val="18"/>
              </w:rPr>
              <w:t>China 215021</w:t>
            </w:r>
          </w:p>
          <w:p w14:paraId="4438F523" w14:textId="77777777" w:rsidR="00B66316" w:rsidRPr="00E46A28" w:rsidRDefault="00B66316" w:rsidP="00E46A28">
            <w:pPr>
              <w:rPr>
                <w:rFonts w:ascii="Arial" w:hAnsi="Arial" w:cs="Arial"/>
                <w:sz w:val="18"/>
                <w:szCs w:val="18"/>
              </w:rPr>
            </w:pPr>
          </w:p>
        </w:tc>
      </w:tr>
      <w:tr w:rsidR="00167F98" w:rsidRPr="00167F98" w14:paraId="7F41CBC8" w14:textId="77777777" w:rsidTr="00B7318F">
        <w:tc>
          <w:tcPr>
            <w:tcW w:w="5031" w:type="dxa"/>
          </w:tcPr>
          <w:p w14:paraId="06406C65" w14:textId="77777777" w:rsidR="00B66316" w:rsidRPr="00E46A28" w:rsidRDefault="00B66316" w:rsidP="00E46A28">
            <w:pPr>
              <w:rPr>
                <w:rFonts w:ascii="Arial" w:hAnsi="Arial" w:cs="Arial"/>
                <w:b/>
                <w:sz w:val="18"/>
                <w:szCs w:val="18"/>
                <w:lang w:val="en-GB"/>
              </w:rPr>
            </w:pPr>
            <w:r w:rsidRPr="00E46A28">
              <w:rPr>
                <w:rFonts w:ascii="Arial" w:hAnsi="Arial" w:cs="Arial"/>
                <w:b/>
                <w:bCs/>
                <w:sz w:val="18"/>
                <w:szCs w:val="18"/>
                <w:lang w:val="en-GB"/>
              </w:rPr>
              <w:t>A. KAYSER AUTOMOTIVE IBERICA S.L.</w:t>
            </w:r>
          </w:p>
          <w:p w14:paraId="708B12D7" w14:textId="77777777" w:rsidR="00B66316" w:rsidRPr="00E46A28" w:rsidRDefault="00B66316" w:rsidP="00E46A28">
            <w:pPr>
              <w:rPr>
                <w:rFonts w:ascii="Arial" w:hAnsi="Arial" w:cs="Arial"/>
                <w:sz w:val="18"/>
                <w:szCs w:val="18"/>
                <w:lang w:val="en-GB"/>
              </w:rPr>
            </w:pPr>
            <w:proofErr w:type="spellStart"/>
            <w:r w:rsidRPr="00E46A28">
              <w:rPr>
                <w:rFonts w:ascii="Arial" w:hAnsi="Arial" w:cs="Arial"/>
                <w:sz w:val="18"/>
                <w:szCs w:val="18"/>
                <w:lang w:val="en-GB"/>
              </w:rPr>
              <w:t>Automoción</w:t>
            </w:r>
            <w:proofErr w:type="spellEnd"/>
            <w:r w:rsidRPr="00E46A28">
              <w:rPr>
                <w:rFonts w:ascii="Arial" w:hAnsi="Arial" w:cs="Arial"/>
                <w:sz w:val="18"/>
                <w:szCs w:val="18"/>
                <w:lang w:val="en-GB"/>
              </w:rPr>
              <w:t xml:space="preserve"> S. Com.</w:t>
            </w:r>
          </w:p>
          <w:p w14:paraId="225EAC22"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Pol. Ind. Comarca I (</w:t>
            </w:r>
            <w:proofErr w:type="spellStart"/>
            <w:r w:rsidRPr="00E46A28">
              <w:rPr>
                <w:rFonts w:ascii="Arial" w:hAnsi="Arial" w:cs="Arial"/>
                <w:sz w:val="18"/>
                <w:szCs w:val="18"/>
                <w:lang w:val="en-GB"/>
              </w:rPr>
              <w:t>Agustinos</w:t>
            </w:r>
            <w:proofErr w:type="spellEnd"/>
            <w:r w:rsidRPr="00E46A28">
              <w:rPr>
                <w:rFonts w:ascii="Arial" w:hAnsi="Arial" w:cs="Arial"/>
                <w:sz w:val="18"/>
                <w:szCs w:val="18"/>
                <w:lang w:val="en-GB"/>
              </w:rPr>
              <w:t>)</w:t>
            </w:r>
          </w:p>
          <w:p w14:paraId="24FE48BA" w14:textId="77777777" w:rsidR="00B66316" w:rsidRPr="00E46A28" w:rsidRDefault="00B66316" w:rsidP="00E46A28">
            <w:pPr>
              <w:rPr>
                <w:rFonts w:ascii="Arial" w:hAnsi="Arial" w:cs="Arial"/>
                <w:sz w:val="18"/>
                <w:szCs w:val="18"/>
              </w:rPr>
            </w:pPr>
            <w:r w:rsidRPr="00E46A28">
              <w:rPr>
                <w:rFonts w:ascii="Arial" w:hAnsi="Arial" w:cs="Arial"/>
                <w:sz w:val="18"/>
                <w:szCs w:val="18"/>
              </w:rPr>
              <w:t>Calle E - 13</w:t>
            </w:r>
          </w:p>
          <w:p w14:paraId="4A38E023" w14:textId="78E0BA11" w:rsidR="00B66316" w:rsidRPr="00E46A28" w:rsidRDefault="00B66316" w:rsidP="00E46A28">
            <w:pPr>
              <w:rPr>
                <w:rFonts w:ascii="Arial" w:hAnsi="Arial" w:cs="Arial"/>
                <w:b/>
                <w:sz w:val="18"/>
                <w:szCs w:val="18"/>
                <w:lang w:val="en-GB"/>
              </w:rPr>
            </w:pPr>
            <w:r w:rsidRPr="00E46A28">
              <w:rPr>
                <w:rFonts w:ascii="Arial" w:hAnsi="Arial" w:cs="Arial"/>
                <w:sz w:val="18"/>
                <w:szCs w:val="18"/>
              </w:rPr>
              <w:t xml:space="preserve">E - 31013 </w:t>
            </w:r>
            <w:proofErr w:type="spellStart"/>
            <w:r w:rsidRPr="00E46A28">
              <w:rPr>
                <w:rFonts w:ascii="Arial" w:hAnsi="Arial" w:cs="Arial"/>
                <w:sz w:val="18"/>
                <w:szCs w:val="18"/>
              </w:rPr>
              <w:t>Berrioplano</w:t>
            </w:r>
            <w:proofErr w:type="spellEnd"/>
            <w:r w:rsidRPr="00E46A28">
              <w:rPr>
                <w:rFonts w:ascii="Arial" w:hAnsi="Arial" w:cs="Arial"/>
                <w:sz w:val="18"/>
                <w:szCs w:val="18"/>
              </w:rPr>
              <w:t xml:space="preserve"> / Navarra</w:t>
            </w:r>
          </w:p>
          <w:p w14:paraId="02FB6D05" w14:textId="77777777" w:rsidR="00B66316" w:rsidRPr="00E46A28" w:rsidRDefault="00B66316" w:rsidP="00E46A28">
            <w:pPr>
              <w:pStyle w:val="StandardDEEN"/>
              <w:jc w:val="left"/>
              <w:rPr>
                <w:sz w:val="18"/>
                <w:szCs w:val="18"/>
              </w:rPr>
            </w:pPr>
          </w:p>
        </w:tc>
        <w:tc>
          <w:tcPr>
            <w:tcW w:w="5031" w:type="dxa"/>
          </w:tcPr>
          <w:p w14:paraId="0292052E" w14:textId="77777777" w:rsidR="00B66316" w:rsidRPr="00E46A28" w:rsidRDefault="00B66316" w:rsidP="00E46A28">
            <w:pPr>
              <w:rPr>
                <w:rFonts w:ascii="Arial" w:hAnsi="Arial" w:cs="Arial"/>
                <w:b/>
                <w:sz w:val="18"/>
                <w:szCs w:val="18"/>
                <w:lang w:val="en-GB"/>
              </w:rPr>
            </w:pPr>
            <w:r w:rsidRPr="00E46A28">
              <w:rPr>
                <w:rFonts w:ascii="Arial" w:hAnsi="Arial" w:cs="Arial"/>
                <w:b/>
                <w:sz w:val="18"/>
                <w:szCs w:val="18"/>
                <w:lang w:val="en-GB"/>
              </w:rPr>
              <w:t xml:space="preserve">Kayser Automotive Systems (Changchun) Co., Ltd </w:t>
            </w:r>
          </w:p>
          <w:p w14:paraId="36DD5735"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Building No. 1, Park III</w:t>
            </w:r>
          </w:p>
          <w:p w14:paraId="64675E25"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Chaoyang Economic Development Zone</w:t>
            </w:r>
          </w:p>
          <w:p w14:paraId="6C939817"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Changchun 130000</w:t>
            </w:r>
          </w:p>
          <w:p w14:paraId="753EA4B6" w14:textId="77777777" w:rsidR="00B66316" w:rsidRPr="00E46A28" w:rsidRDefault="00B66316" w:rsidP="00E46A28">
            <w:pPr>
              <w:rPr>
                <w:rFonts w:ascii="Arial" w:hAnsi="Arial" w:cs="Arial"/>
                <w:sz w:val="18"/>
                <w:szCs w:val="18"/>
              </w:rPr>
            </w:pPr>
          </w:p>
        </w:tc>
      </w:tr>
      <w:tr w:rsidR="00167F98" w:rsidRPr="00167F98" w14:paraId="65F5E85B" w14:textId="77777777" w:rsidTr="00B7318F">
        <w:tc>
          <w:tcPr>
            <w:tcW w:w="5031" w:type="dxa"/>
          </w:tcPr>
          <w:p w14:paraId="1A33A6A1" w14:textId="77777777" w:rsidR="00B66316" w:rsidRPr="00E46A28" w:rsidRDefault="00B66316" w:rsidP="00E46A28">
            <w:pPr>
              <w:rPr>
                <w:rFonts w:ascii="Arial" w:hAnsi="Arial" w:cs="Arial"/>
                <w:b/>
                <w:sz w:val="18"/>
                <w:szCs w:val="18"/>
              </w:rPr>
            </w:pPr>
            <w:r w:rsidRPr="00E46A28">
              <w:rPr>
                <w:rFonts w:ascii="Arial" w:hAnsi="Arial" w:cs="Arial"/>
                <w:b/>
                <w:sz w:val="18"/>
                <w:szCs w:val="18"/>
              </w:rPr>
              <w:t xml:space="preserve">KAYSER AUTOMOTIVE SYSTEMS </w:t>
            </w:r>
            <w:proofErr w:type="spellStart"/>
            <w:r w:rsidRPr="00E46A28">
              <w:rPr>
                <w:rFonts w:ascii="Arial" w:hAnsi="Arial" w:cs="Arial"/>
                <w:b/>
                <w:sz w:val="18"/>
                <w:szCs w:val="18"/>
              </w:rPr>
              <w:t>Kłodzko</w:t>
            </w:r>
            <w:proofErr w:type="spellEnd"/>
            <w:r w:rsidRPr="00E46A28">
              <w:rPr>
                <w:rFonts w:ascii="Arial" w:hAnsi="Arial" w:cs="Arial"/>
                <w:b/>
                <w:sz w:val="18"/>
                <w:szCs w:val="18"/>
              </w:rPr>
              <w:t xml:space="preserve"> </w:t>
            </w:r>
            <w:proofErr w:type="spellStart"/>
            <w:r w:rsidRPr="00E46A28">
              <w:rPr>
                <w:rFonts w:ascii="Arial" w:hAnsi="Arial" w:cs="Arial"/>
                <w:b/>
                <w:sz w:val="18"/>
                <w:szCs w:val="18"/>
              </w:rPr>
              <w:t>Sp</w:t>
            </w:r>
            <w:proofErr w:type="spellEnd"/>
            <w:r w:rsidRPr="00E46A28">
              <w:rPr>
                <w:rFonts w:ascii="Arial" w:hAnsi="Arial" w:cs="Arial"/>
                <w:b/>
                <w:sz w:val="18"/>
                <w:szCs w:val="18"/>
              </w:rPr>
              <w:t xml:space="preserve">. z </w:t>
            </w:r>
            <w:proofErr w:type="spellStart"/>
            <w:r w:rsidRPr="00E46A28">
              <w:rPr>
                <w:rFonts w:ascii="Arial" w:hAnsi="Arial" w:cs="Arial"/>
                <w:b/>
                <w:sz w:val="18"/>
                <w:szCs w:val="18"/>
              </w:rPr>
              <w:t>o.o.</w:t>
            </w:r>
            <w:proofErr w:type="spellEnd"/>
          </w:p>
          <w:p w14:paraId="4A8C226A" w14:textId="77777777" w:rsidR="00B66316" w:rsidRPr="00E46A28" w:rsidRDefault="00B66316" w:rsidP="00E46A28">
            <w:pPr>
              <w:rPr>
                <w:rFonts w:ascii="Arial" w:hAnsi="Arial" w:cs="Arial"/>
                <w:sz w:val="18"/>
                <w:szCs w:val="18"/>
              </w:rPr>
            </w:pPr>
            <w:r w:rsidRPr="00E46A28">
              <w:rPr>
                <w:rFonts w:ascii="Arial" w:hAnsi="Arial" w:cs="Arial"/>
                <w:sz w:val="18"/>
                <w:szCs w:val="18"/>
              </w:rPr>
              <w:t xml:space="preserve">Ul. </w:t>
            </w:r>
            <w:proofErr w:type="spellStart"/>
            <w:r w:rsidRPr="00E46A28">
              <w:rPr>
                <w:rFonts w:ascii="Arial" w:hAnsi="Arial" w:cs="Arial"/>
                <w:sz w:val="18"/>
                <w:szCs w:val="18"/>
              </w:rPr>
              <w:t>Przemysłowa</w:t>
            </w:r>
            <w:proofErr w:type="spellEnd"/>
            <w:r w:rsidRPr="00E46A28">
              <w:rPr>
                <w:rFonts w:ascii="Arial" w:hAnsi="Arial" w:cs="Arial"/>
                <w:sz w:val="18"/>
                <w:szCs w:val="18"/>
              </w:rPr>
              <w:t xml:space="preserve"> 3</w:t>
            </w:r>
          </w:p>
          <w:p w14:paraId="7D11119F" w14:textId="77777777" w:rsidR="00B66316" w:rsidRPr="00E46A28" w:rsidRDefault="00B66316" w:rsidP="00E46A28">
            <w:pPr>
              <w:rPr>
                <w:rFonts w:ascii="Arial" w:hAnsi="Arial" w:cs="Arial"/>
                <w:sz w:val="18"/>
                <w:szCs w:val="18"/>
              </w:rPr>
            </w:pPr>
            <w:r w:rsidRPr="00E46A28">
              <w:rPr>
                <w:rFonts w:ascii="Arial" w:hAnsi="Arial" w:cs="Arial"/>
                <w:sz w:val="18"/>
                <w:szCs w:val="18"/>
              </w:rPr>
              <w:t>PL 57-312 JASZKOWA DOLNA</w:t>
            </w:r>
          </w:p>
          <w:p w14:paraId="7E64B427" w14:textId="77777777" w:rsidR="00B66316" w:rsidRPr="00E46A28" w:rsidRDefault="00B66316" w:rsidP="00E46A28">
            <w:pPr>
              <w:pStyle w:val="StandardDEEN"/>
              <w:spacing w:before="0"/>
              <w:jc w:val="left"/>
              <w:rPr>
                <w:sz w:val="18"/>
                <w:szCs w:val="18"/>
              </w:rPr>
            </w:pPr>
          </w:p>
          <w:p w14:paraId="58F6F81A" w14:textId="77777777" w:rsidR="00F40173" w:rsidRPr="00E46A28" w:rsidRDefault="00F40173" w:rsidP="00E46A28">
            <w:pPr>
              <w:rPr>
                <w:rFonts w:ascii="Arial" w:hAnsi="Arial" w:cs="Arial"/>
                <w:b/>
                <w:sz w:val="18"/>
                <w:szCs w:val="18"/>
                <w:lang w:val="en-US"/>
              </w:rPr>
            </w:pPr>
            <w:r w:rsidRPr="00E46A28">
              <w:rPr>
                <w:rFonts w:ascii="Arial" w:hAnsi="Arial" w:cs="Arial"/>
                <w:b/>
                <w:sz w:val="18"/>
                <w:szCs w:val="18"/>
                <w:lang w:val="en-US"/>
              </w:rPr>
              <w:t>Kayser Automotive Systems Bulgaria EOOD</w:t>
            </w:r>
          </w:p>
          <w:p w14:paraId="1598E945" w14:textId="77777777" w:rsidR="00F40173" w:rsidRPr="00E46A28" w:rsidRDefault="00F40173" w:rsidP="00E46A28">
            <w:pPr>
              <w:rPr>
                <w:rFonts w:ascii="Arial" w:hAnsi="Arial" w:cs="Arial"/>
                <w:sz w:val="18"/>
                <w:szCs w:val="18"/>
                <w:lang w:val="en-US"/>
              </w:rPr>
            </w:pPr>
            <w:r w:rsidRPr="00E46A28">
              <w:rPr>
                <w:rFonts w:ascii="Arial" w:hAnsi="Arial" w:cs="Arial"/>
                <w:sz w:val="18"/>
                <w:szCs w:val="18"/>
                <w:lang w:val="en-US"/>
              </w:rPr>
              <w:t>Industrial and Logistics Park Pleven</w:t>
            </w:r>
          </w:p>
          <w:p w14:paraId="2639BE28" w14:textId="77777777" w:rsidR="00F40173" w:rsidRPr="00E46A28" w:rsidRDefault="00F40173" w:rsidP="00E46A28">
            <w:pPr>
              <w:rPr>
                <w:rFonts w:ascii="Arial" w:hAnsi="Arial" w:cs="Arial"/>
                <w:sz w:val="18"/>
                <w:szCs w:val="18"/>
              </w:rPr>
            </w:pPr>
            <w:proofErr w:type="spellStart"/>
            <w:r w:rsidRPr="00E46A28">
              <w:rPr>
                <w:rFonts w:ascii="Arial" w:hAnsi="Arial" w:cs="Arial"/>
                <w:sz w:val="18"/>
                <w:szCs w:val="18"/>
              </w:rPr>
              <w:t>Storgozia</w:t>
            </w:r>
            <w:proofErr w:type="spellEnd"/>
            <w:r w:rsidRPr="00E46A28">
              <w:rPr>
                <w:rFonts w:ascii="Arial" w:hAnsi="Arial" w:cs="Arial"/>
                <w:sz w:val="18"/>
                <w:szCs w:val="18"/>
              </w:rPr>
              <w:t xml:space="preserve"> 140</w:t>
            </w:r>
          </w:p>
          <w:p w14:paraId="1040BFF4" w14:textId="77777777" w:rsidR="00F40173" w:rsidRPr="00E46A28" w:rsidRDefault="00F40173" w:rsidP="00E46A28">
            <w:pPr>
              <w:rPr>
                <w:rFonts w:ascii="Arial" w:hAnsi="Arial" w:cs="Arial"/>
                <w:sz w:val="18"/>
                <w:szCs w:val="18"/>
              </w:rPr>
            </w:pPr>
            <w:r w:rsidRPr="00E46A28">
              <w:rPr>
                <w:rFonts w:ascii="Arial" w:hAnsi="Arial" w:cs="Arial"/>
                <w:sz w:val="18"/>
                <w:szCs w:val="18"/>
              </w:rPr>
              <w:t xml:space="preserve">5802 Pleven, </w:t>
            </w:r>
            <w:proofErr w:type="spellStart"/>
            <w:r w:rsidRPr="00E46A28">
              <w:rPr>
                <w:rFonts w:ascii="Arial" w:hAnsi="Arial" w:cs="Arial"/>
                <w:sz w:val="18"/>
                <w:szCs w:val="18"/>
              </w:rPr>
              <w:t>Bulgaria</w:t>
            </w:r>
            <w:proofErr w:type="spellEnd"/>
          </w:p>
          <w:p w14:paraId="1EEA7AFB" w14:textId="77777777" w:rsidR="00F40173" w:rsidRPr="00E46A28" w:rsidRDefault="00F40173" w:rsidP="00E46A28">
            <w:pPr>
              <w:pStyle w:val="StandardDEEN"/>
              <w:spacing w:before="0"/>
              <w:jc w:val="left"/>
              <w:rPr>
                <w:sz w:val="18"/>
                <w:szCs w:val="18"/>
              </w:rPr>
            </w:pPr>
          </w:p>
          <w:p w14:paraId="12DE0E28" w14:textId="77777777" w:rsidR="00F40173" w:rsidRPr="00E46A28" w:rsidRDefault="00F40173" w:rsidP="00E46A28">
            <w:pPr>
              <w:pStyle w:val="StandardDEEN"/>
              <w:spacing w:before="0"/>
              <w:jc w:val="left"/>
              <w:rPr>
                <w:sz w:val="18"/>
                <w:szCs w:val="18"/>
              </w:rPr>
            </w:pPr>
          </w:p>
        </w:tc>
        <w:tc>
          <w:tcPr>
            <w:tcW w:w="5031" w:type="dxa"/>
          </w:tcPr>
          <w:p w14:paraId="6BD1BEB7" w14:textId="77777777" w:rsidR="00B66316" w:rsidRPr="00E46A28" w:rsidRDefault="00B66316" w:rsidP="00E46A28">
            <w:pPr>
              <w:rPr>
                <w:rFonts w:ascii="Arial" w:hAnsi="Arial" w:cs="Arial"/>
                <w:b/>
                <w:sz w:val="18"/>
                <w:szCs w:val="18"/>
                <w:lang w:val="en-US"/>
              </w:rPr>
            </w:pPr>
            <w:r w:rsidRPr="00E46A28">
              <w:rPr>
                <w:rFonts w:ascii="Arial" w:hAnsi="Arial" w:cs="Arial"/>
                <w:b/>
                <w:sz w:val="18"/>
                <w:szCs w:val="18"/>
                <w:lang w:val="en-US"/>
              </w:rPr>
              <w:t>Kayser Automotive Systems USA, LP</w:t>
            </w:r>
          </w:p>
          <w:p w14:paraId="688E566F" w14:textId="77777777" w:rsidR="00B66316" w:rsidRPr="00E46A28" w:rsidRDefault="00B66316" w:rsidP="00E46A28">
            <w:pPr>
              <w:rPr>
                <w:rFonts w:ascii="Arial" w:hAnsi="Arial" w:cs="Arial"/>
                <w:sz w:val="18"/>
                <w:szCs w:val="18"/>
                <w:lang w:val="en-GB"/>
              </w:rPr>
            </w:pPr>
            <w:r w:rsidRPr="00E46A28">
              <w:rPr>
                <w:rFonts w:ascii="Arial" w:hAnsi="Arial" w:cs="Arial"/>
                <w:sz w:val="18"/>
                <w:szCs w:val="18"/>
                <w:lang w:val="en-GB"/>
              </w:rPr>
              <w:t xml:space="preserve">910 Kentucky Avenue </w:t>
            </w:r>
          </w:p>
          <w:p w14:paraId="3796C627" w14:textId="77777777" w:rsidR="00B66316" w:rsidRPr="00E46A28" w:rsidRDefault="00B66316" w:rsidP="00E46A28">
            <w:pPr>
              <w:rPr>
                <w:rFonts w:ascii="Arial" w:hAnsi="Arial" w:cs="Arial"/>
                <w:sz w:val="18"/>
                <w:szCs w:val="18"/>
              </w:rPr>
            </w:pPr>
            <w:r w:rsidRPr="00E46A28">
              <w:rPr>
                <w:rFonts w:ascii="Arial" w:hAnsi="Arial" w:cs="Arial"/>
                <w:sz w:val="18"/>
                <w:szCs w:val="18"/>
              </w:rPr>
              <w:t>USA - Fulton KY 42041</w:t>
            </w:r>
          </w:p>
          <w:p w14:paraId="2E3C9A3D" w14:textId="77777777" w:rsidR="00B66316" w:rsidRPr="00E46A28" w:rsidRDefault="00B66316" w:rsidP="00E46A28">
            <w:pPr>
              <w:rPr>
                <w:rFonts w:ascii="Arial" w:hAnsi="Arial" w:cs="Arial"/>
                <w:sz w:val="18"/>
                <w:szCs w:val="18"/>
              </w:rPr>
            </w:pPr>
          </w:p>
        </w:tc>
      </w:tr>
      <w:tr w:rsidR="00167F98" w:rsidRPr="00473277" w14:paraId="7712F6EA" w14:textId="77777777" w:rsidTr="00E46A28">
        <w:trPr>
          <w:trHeight w:val="551"/>
        </w:trPr>
        <w:tc>
          <w:tcPr>
            <w:tcW w:w="5031" w:type="dxa"/>
          </w:tcPr>
          <w:p w14:paraId="25DFCEDD" w14:textId="77777777" w:rsidR="00B66316" w:rsidRPr="00E46A28" w:rsidRDefault="00B66316" w:rsidP="00B7318F">
            <w:pPr>
              <w:pStyle w:val="StandardDEEN"/>
              <w:rPr>
                <w:sz w:val="18"/>
                <w:szCs w:val="18"/>
              </w:rPr>
            </w:pPr>
            <w:r w:rsidRPr="00E46A28">
              <w:rPr>
                <w:sz w:val="18"/>
                <w:szCs w:val="18"/>
              </w:rPr>
              <w:t>(nachfolgend „</w:t>
            </w:r>
            <w:r w:rsidRPr="00E46A28">
              <w:rPr>
                <w:b/>
                <w:sz w:val="18"/>
                <w:szCs w:val="18"/>
              </w:rPr>
              <w:t xml:space="preserve">KAYSER“ </w:t>
            </w:r>
            <w:r w:rsidRPr="00E46A28">
              <w:rPr>
                <w:sz w:val="18"/>
                <w:szCs w:val="18"/>
              </w:rPr>
              <w:t>genannt)</w:t>
            </w:r>
          </w:p>
        </w:tc>
        <w:tc>
          <w:tcPr>
            <w:tcW w:w="5031" w:type="dxa"/>
          </w:tcPr>
          <w:p w14:paraId="160FCC07" w14:textId="77777777" w:rsidR="00B66316" w:rsidRPr="00E46A28" w:rsidRDefault="0055145F" w:rsidP="00B7318F">
            <w:pPr>
              <w:spacing w:before="240"/>
              <w:rPr>
                <w:rFonts w:ascii="Arial" w:hAnsi="Arial" w:cs="Arial"/>
                <w:sz w:val="18"/>
                <w:szCs w:val="18"/>
                <w:lang w:val="en-US"/>
              </w:rPr>
            </w:pPr>
            <w:r w:rsidRPr="00E46A28">
              <w:rPr>
                <w:rFonts w:ascii="Arial" w:hAnsi="Arial"/>
                <w:sz w:val="18"/>
                <w:szCs w:val="18"/>
                <w:lang w:val="en-GB"/>
              </w:rPr>
              <w:t>(hereinafter referred to as “</w:t>
            </w:r>
            <w:proofErr w:type="gramStart"/>
            <w:r w:rsidRPr="00E46A28">
              <w:rPr>
                <w:rFonts w:ascii="Arial" w:hAnsi="Arial"/>
                <w:b/>
                <w:sz w:val="18"/>
                <w:szCs w:val="18"/>
                <w:lang w:val="en-GB"/>
              </w:rPr>
              <w:t>KAYSER“</w:t>
            </w:r>
            <w:proofErr w:type="gramEnd"/>
            <w:r w:rsidRPr="00E46A28">
              <w:rPr>
                <w:rFonts w:ascii="Arial" w:hAnsi="Arial"/>
                <w:sz w:val="18"/>
                <w:szCs w:val="18"/>
                <w:lang w:val="en-GB"/>
              </w:rPr>
              <w:t>)</w:t>
            </w:r>
          </w:p>
        </w:tc>
      </w:tr>
      <w:tr w:rsidR="00167F98" w:rsidRPr="00473277" w14:paraId="1207C391" w14:textId="77777777" w:rsidTr="00B7318F">
        <w:tc>
          <w:tcPr>
            <w:tcW w:w="5031" w:type="dxa"/>
          </w:tcPr>
          <w:p w14:paraId="2D976F10" w14:textId="77777777" w:rsidR="00B66316" w:rsidRPr="00E46A28" w:rsidRDefault="00B66316" w:rsidP="00B66316">
            <w:pPr>
              <w:rPr>
                <w:rFonts w:ascii="Arial" w:hAnsi="Arial" w:cs="Arial"/>
                <w:sz w:val="18"/>
                <w:szCs w:val="18"/>
              </w:rPr>
            </w:pPr>
            <w:r w:rsidRPr="00E46A28">
              <w:rPr>
                <w:rFonts w:ascii="Arial" w:hAnsi="Arial" w:cs="Arial"/>
                <w:sz w:val="18"/>
                <w:szCs w:val="18"/>
              </w:rPr>
              <w:t xml:space="preserve">und </w:t>
            </w:r>
          </w:p>
          <w:p w14:paraId="258C7CA0" w14:textId="77777777" w:rsidR="00B66316" w:rsidRPr="00E46A28" w:rsidRDefault="00B66316" w:rsidP="00B66316">
            <w:pPr>
              <w:rPr>
                <w:rFonts w:ascii="Arial" w:hAnsi="Arial" w:cs="Arial"/>
                <w:sz w:val="18"/>
                <w:szCs w:val="18"/>
              </w:rPr>
            </w:pPr>
          </w:p>
          <w:p w14:paraId="1995C85D" w14:textId="505ABA46" w:rsidR="00B66316" w:rsidRPr="00E46A28" w:rsidRDefault="00B66316" w:rsidP="00410CB0">
            <w:pPr>
              <w:numPr>
                <w:ilvl w:val="0"/>
                <w:numId w:val="3"/>
              </w:numPr>
              <w:rPr>
                <w:rFonts w:ascii="Arial" w:hAnsi="Arial" w:cs="Arial"/>
                <w:b/>
                <w:sz w:val="18"/>
                <w:szCs w:val="18"/>
              </w:rPr>
            </w:pPr>
            <w:r w:rsidRPr="00E46A28">
              <w:rPr>
                <w:rFonts w:ascii="Arial" w:hAnsi="Arial" w:cs="Arial"/>
                <w:sz w:val="18"/>
                <w:szCs w:val="18"/>
              </w:rPr>
              <w:t xml:space="preserve">         </w:t>
            </w:r>
            <w:r w:rsidRPr="00E46A28">
              <w:rPr>
                <w:rFonts w:ascii="Arial" w:hAnsi="Arial" w:cs="Arial"/>
                <w:b/>
                <w:sz w:val="18"/>
                <w:szCs w:val="18"/>
              </w:rPr>
              <w:t>Firma</w:t>
            </w:r>
          </w:p>
          <w:p w14:paraId="22346124" w14:textId="1B3F4BF6" w:rsidR="00B66316" w:rsidRPr="00E46A28" w:rsidRDefault="00E46A28" w:rsidP="00E46A28">
            <w:pPr>
              <w:rPr>
                <w:rFonts w:ascii="Arial" w:hAnsi="Arial" w:cs="Arial"/>
                <w:sz w:val="18"/>
                <w:szCs w:val="18"/>
              </w:rPr>
            </w:pPr>
            <w:r w:rsidRPr="00E46A28">
              <w:rPr>
                <w:rFonts w:ascii="Arial" w:hAnsi="Arial" w:cs="Arial"/>
                <w:sz w:val="18"/>
                <w:szCs w:val="18"/>
              </w:rPr>
              <w:t xml:space="preserve">                        </w:t>
            </w:r>
            <w:r w:rsidR="00B66316" w:rsidRPr="00E46A28">
              <w:rPr>
                <w:rFonts w:ascii="Arial" w:hAnsi="Arial" w:cs="Arial"/>
                <w:sz w:val="18"/>
                <w:szCs w:val="18"/>
              </w:rPr>
              <w:t>Firmenadresse</w:t>
            </w:r>
          </w:p>
          <w:p w14:paraId="6F009C36" w14:textId="77777777" w:rsidR="00E46A28" w:rsidRPr="00E46A28" w:rsidRDefault="00E46A28" w:rsidP="00B66316">
            <w:pPr>
              <w:ind w:left="1418"/>
              <w:rPr>
                <w:rFonts w:ascii="Arial" w:hAnsi="Arial" w:cs="Arial"/>
                <w:sz w:val="18"/>
                <w:szCs w:val="18"/>
              </w:rPr>
            </w:pPr>
          </w:p>
          <w:p w14:paraId="3F5CDC6C" w14:textId="77777777" w:rsidR="00E46A28" w:rsidRDefault="00E46A28" w:rsidP="00E46A28">
            <w:pPr>
              <w:rPr>
                <w:rFonts w:ascii="Arial" w:hAnsi="Arial" w:cs="Arial"/>
                <w:sz w:val="18"/>
                <w:szCs w:val="18"/>
              </w:rPr>
            </w:pPr>
          </w:p>
          <w:p w14:paraId="55DC94D3" w14:textId="77777777" w:rsidR="00E46A28" w:rsidRDefault="00E46A28" w:rsidP="00E46A28">
            <w:pPr>
              <w:rPr>
                <w:rFonts w:ascii="Arial" w:hAnsi="Arial" w:cs="Arial"/>
                <w:sz w:val="18"/>
                <w:szCs w:val="18"/>
              </w:rPr>
            </w:pPr>
          </w:p>
          <w:p w14:paraId="707D9523" w14:textId="77777777" w:rsidR="00E46A28" w:rsidRPr="00E46A28" w:rsidRDefault="00E46A28" w:rsidP="00E46A28">
            <w:pPr>
              <w:rPr>
                <w:rFonts w:ascii="Arial" w:hAnsi="Arial" w:cs="Arial"/>
                <w:sz w:val="18"/>
                <w:szCs w:val="18"/>
              </w:rPr>
            </w:pPr>
          </w:p>
          <w:p w14:paraId="4E7F753F" w14:textId="7E68C457" w:rsidR="00B66316" w:rsidRPr="00E46A28" w:rsidRDefault="00E46A28" w:rsidP="00E46A28">
            <w:pPr>
              <w:rPr>
                <w:rFonts w:ascii="Arial" w:hAnsi="Arial" w:cs="Arial"/>
                <w:sz w:val="18"/>
                <w:szCs w:val="18"/>
              </w:rPr>
            </w:pPr>
            <w:r w:rsidRPr="00E46A28">
              <w:rPr>
                <w:rFonts w:ascii="Arial" w:hAnsi="Arial" w:cs="Arial"/>
                <w:sz w:val="18"/>
                <w:szCs w:val="18"/>
              </w:rPr>
              <w:t xml:space="preserve">                        </w:t>
            </w:r>
            <w:r w:rsidR="00B66316" w:rsidRPr="00E46A28">
              <w:rPr>
                <w:rFonts w:ascii="Arial" w:hAnsi="Arial" w:cs="Arial"/>
                <w:sz w:val="18"/>
                <w:szCs w:val="18"/>
              </w:rPr>
              <w:t>……………………..</w:t>
            </w:r>
          </w:p>
          <w:p w14:paraId="0AC1E38E" w14:textId="77777777" w:rsidR="00B66316" w:rsidRPr="00E46A28" w:rsidRDefault="00B66316" w:rsidP="00B66316">
            <w:pPr>
              <w:ind w:left="720"/>
              <w:rPr>
                <w:rFonts w:ascii="Arial" w:hAnsi="Arial" w:cs="Arial"/>
                <w:sz w:val="18"/>
                <w:szCs w:val="18"/>
              </w:rPr>
            </w:pPr>
          </w:p>
          <w:p w14:paraId="4B43871E" w14:textId="77777777" w:rsidR="00B66316" w:rsidRPr="00E46A28" w:rsidRDefault="00B66316" w:rsidP="00B66316">
            <w:pPr>
              <w:ind w:left="1418"/>
              <w:rPr>
                <w:rFonts w:ascii="Arial" w:hAnsi="Arial" w:cs="Arial"/>
                <w:sz w:val="18"/>
                <w:szCs w:val="18"/>
              </w:rPr>
            </w:pPr>
            <w:r w:rsidRPr="00E46A28">
              <w:rPr>
                <w:rFonts w:ascii="Arial" w:hAnsi="Arial" w:cs="Arial"/>
                <w:sz w:val="18"/>
                <w:szCs w:val="18"/>
              </w:rPr>
              <w:t>(nachfolgend „</w:t>
            </w:r>
            <w:r w:rsidRPr="00E46A28">
              <w:rPr>
                <w:rFonts w:ascii="Arial" w:hAnsi="Arial" w:cs="Arial"/>
                <w:b/>
                <w:sz w:val="18"/>
                <w:szCs w:val="18"/>
              </w:rPr>
              <w:t>Lieferant</w:t>
            </w:r>
            <w:r w:rsidRPr="00E46A28">
              <w:rPr>
                <w:rFonts w:ascii="Arial" w:hAnsi="Arial" w:cs="Arial"/>
                <w:sz w:val="18"/>
                <w:szCs w:val="18"/>
              </w:rPr>
              <w:t>“ genannt)</w:t>
            </w:r>
          </w:p>
        </w:tc>
        <w:tc>
          <w:tcPr>
            <w:tcW w:w="5031" w:type="dxa"/>
          </w:tcPr>
          <w:p w14:paraId="78A35D24" w14:textId="77777777" w:rsidR="0055145F" w:rsidRPr="00E46A28" w:rsidRDefault="0055145F" w:rsidP="0055145F">
            <w:pPr>
              <w:rPr>
                <w:rFonts w:ascii="Arial" w:hAnsi="Arial"/>
                <w:sz w:val="18"/>
                <w:szCs w:val="18"/>
                <w:lang w:val="en-GB"/>
              </w:rPr>
            </w:pPr>
            <w:r w:rsidRPr="00E46A28">
              <w:rPr>
                <w:rFonts w:ascii="Arial" w:hAnsi="Arial"/>
                <w:sz w:val="18"/>
                <w:szCs w:val="18"/>
                <w:lang w:val="en-GB"/>
              </w:rPr>
              <w:t xml:space="preserve">and </w:t>
            </w:r>
          </w:p>
          <w:p w14:paraId="2E3926B7" w14:textId="77777777" w:rsidR="0055145F" w:rsidRPr="00E46A28" w:rsidRDefault="0055145F" w:rsidP="0055145F">
            <w:pPr>
              <w:rPr>
                <w:rFonts w:ascii="Arial" w:hAnsi="Arial"/>
                <w:sz w:val="18"/>
                <w:szCs w:val="18"/>
                <w:lang w:val="en-GB"/>
              </w:rPr>
            </w:pPr>
          </w:p>
          <w:p w14:paraId="618EFF0A" w14:textId="43F8377F" w:rsidR="0055145F" w:rsidRPr="00E46A28" w:rsidRDefault="0055145F" w:rsidP="00410CB0">
            <w:pPr>
              <w:numPr>
                <w:ilvl w:val="0"/>
                <w:numId w:val="13"/>
              </w:numPr>
              <w:rPr>
                <w:rFonts w:ascii="Arial" w:hAnsi="Arial"/>
                <w:b/>
                <w:sz w:val="18"/>
                <w:szCs w:val="18"/>
                <w:lang w:val="en-GB"/>
              </w:rPr>
            </w:pPr>
            <w:r w:rsidRPr="00E46A28">
              <w:rPr>
                <w:rFonts w:ascii="Arial" w:hAnsi="Arial"/>
                <w:sz w:val="18"/>
                <w:szCs w:val="18"/>
                <w:lang w:val="en-GB"/>
              </w:rPr>
              <w:t xml:space="preserve">         </w:t>
            </w:r>
            <w:r w:rsidRPr="00E46A28">
              <w:rPr>
                <w:rFonts w:ascii="Arial" w:hAnsi="Arial"/>
                <w:b/>
                <w:sz w:val="18"/>
                <w:szCs w:val="18"/>
                <w:lang w:val="en-GB"/>
              </w:rPr>
              <w:t>Company</w:t>
            </w:r>
          </w:p>
          <w:p w14:paraId="45DB0430" w14:textId="1CBD597E" w:rsidR="0055145F" w:rsidRPr="00E46A28" w:rsidRDefault="00E46A28" w:rsidP="00E46A28">
            <w:pPr>
              <w:rPr>
                <w:rFonts w:ascii="Arial" w:hAnsi="Arial"/>
                <w:sz w:val="18"/>
                <w:szCs w:val="18"/>
                <w:lang w:val="en-GB"/>
              </w:rPr>
            </w:pPr>
            <w:r w:rsidRPr="00E46A28">
              <w:rPr>
                <w:rFonts w:ascii="Arial" w:hAnsi="Arial"/>
                <w:sz w:val="18"/>
                <w:szCs w:val="18"/>
                <w:lang w:val="en-GB"/>
              </w:rPr>
              <w:t xml:space="preserve">                        </w:t>
            </w:r>
            <w:r w:rsidR="0055145F" w:rsidRPr="00E46A28">
              <w:rPr>
                <w:rFonts w:ascii="Arial" w:hAnsi="Arial"/>
                <w:sz w:val="18"/>
                <w:szCs w:val="18"/>
                <w:lang w:val="en-GB"/>
              </w:rPr>
              <w:t>Company address</w:t>
            </w:r>
          </w:p>
          <w:p w14:paraId="68B7034A" w14:textId="77777777" w:rsidR="00E46A28" w:rsidRPr="00E46A28" w:rsidRDefault="00E46A28" w:rsidP="00E46A28">
            <w:pPr>
              <w:rPr>
                <w:rFonts w:ascii="Times New Roman" w:hAnsi="Times New Roman"/>
                <w:sz w:val="18"/>
                <w:szCs w:val="18"/>
                <w:lang w:val="en-GB"/>
              </w:rPr>
            </w:pPr>
          </w:p>
          <w:p w14:paraId="16204AD1" w14:textId="77777777" w:rsidR="00E46A28" w:rsidRDefault="00E46A28" w:rsidP="00E46A28">
            <w:pPr>
              <w:rPr>
                <w:rFonts w:ascii="Times New Roman" w:hAnsi="Times New Roman"/>
                <w:sz w:val="18"/>
                <w:szCs w:val="18"/>
                <w:lang w:val="en-GB"/>
              </w:rPr>
            </w:pPr>
          </w:p>
          <w:p w14:paraId="42A589CB" w14:textId="77777777" w:rsidR="00E46A28" w:rsidRDefault="00E46A28" w:rsidP="00E46A28">
            <w:pPr>
              <w:rPr>
                <w:rFonts w:ascii="Times New Roman" w:hAnsi="Times New Roman"/>
                <w:sz w:val="18"/>
                <w:szCs w:val="18"/>
                <w:lang w:val="en-GB"/>
              </w:rPr>
            </w:pPr>
          </w:p>
          <w:p w14:paraId="24CFC9D7" w14:textId="77777777" w:rsidR="00E46A28" w:rsidRPr="00E46A28" w:rsidRDefault="00E46A28" w:rsidP="00E46A28">
            <w:pPr>
              <w:rPr>
                <w:rFonts w:ascii="Times New Roman" w:hAnsi="Times New Roman"/>
                <w:sz w:val="18"/>
                <w:szCs w:val="18"/>
                <w:lang w:val="en-GB"/>
              </w:rPr>
            </w:pPr>
          </w:p>
          <w:p w14:paraId="7E3C924E" w14:textId="77777777" w:rsidR="0055145F" w:rsidRPr="00E46A28" w:rsidRDefault="0055145F" w:rsidP="0055145F">
            <w:pPr>
              <w:ind w:left="1418"/>
              <w:rPr>
                <w:sz w:val="18"/>
                <w:szCs w:val="18"/>
                <w:lang w:val="en-GB"/>
              </w:rPr>
            </w:pPr>
            <w:r w:rsidRPr="00E46A28">
              <w:rPr>
                <w:rFonts w:ascii="Arial" w:hAnsi="Arial"/>
                <w:sz w:val="18"/>
                <w:szCs w:val="18"/>
                <w:lang w:val="en-GB"/>
              </w:rPr>
              <w:t>……………………..</w:t>
            </w:r>
          </w:p>
          <w:p w14:paraId="74C5B79D" w14:textId="77777777" w:rsidR="0055145F" w:rsidRPr="00E46A28" w:rsidRDefault="0055145F" w:rsidP="0055145F">
            <w:pPr>
              <w:ind w:left="720"/>
              <w:rPr>
                <w:rFonts w:ascii="Arial" w:hAnsi="Arial"/>
                <w:sz w:val="18"/>
                <w:szCs w:val="18"/>
                <w:lang w:val="en-GB"/>
              </w:rPr>
            </w:pPr>
          </w:p>
          <w:p w14:paraId="6021F6D9" w14:textId="77777777" w:rsidR="00B66316" w:rsidRPr="00E46A28" w:rsidRDefault="0055145F" w:rsidP="0055145F">
            <w:pPr>
              <w:ind w:left="1418"/>
              <w:rPr>
                <w:rFonts w:ascii="Arial" w:hAnsi="Arial" w:cs="Arial"/>
                <w:sz w:val="18"/>
                <w:szCs w:val="18"/>
                <w:lang w:val="en-GB"/>
              </w:rPr>
            </w:pPr>
            <w:r w:rsidRPr="00E46A28">
              <w:rPr>
                <w:rFonts w:ascii="Arial" w:hAnsi="Arial"/>
                <w:sz w:val="18"/>
                <w:szCs w:val="18"/>
                <w:lang w:val="en-GB"/>
              </w:rPr>
              <w:t>(hereinafter referred to as “</w:t>
            </w:r>
            <w:proofErr w:type="gramStart"/>
            <w:r w:rsidRPr="00E46A28">
              <w:rPr>
                <w:rFonts w:ascii="Arial" w:hAnsi="Arial"/>
                <w:b/>
                <w:sz w:val="18"/>
                <w:szCs w:val="18"/>
                <w:lang w:val="en-GB"/>
              </w:rPr>
              <w:t>Supplier“</w:t>
            </w:r>
            <w:proofErr w:type="gramEnd"/>
            <w:r w:rsidRPr="00E46A28">
              <w:rPr>
                <w:rFonts w:ascii="Arial" w:hAnsi="Arial"/>
                <w:sz w:val="18"/>
                <w:szCs w:val="18"/>
                <w:lang w:val="en-GB"/>
              </w:rPr>
              <w:t>)</w:t>
            </w:r>
          </w:p>
        </w:tc>
      </w:tr>
    </w:tbl>
    <w:p w14:paraId="4EE65842" w14:textId="77777777" w:rsidR="00D7434E" w:rsidRPr="00167F98" w:rsidRDefault="001954AE">
      <w:pPr>
        <w:pStyle w:val="Inhaltsverzeichnisberschrift"/>
        <w:rPr>
          <w:color w:val="auto"/>
          <w:lang w:val="en-US"/>
        </w:rPr>
      </w:pPr>
      <w:r w:rsidRPr="00167F98">
        <w:rPr>
          <w:color w:val="auto"/>
          <w:lang w:val="en-U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36"/>
      </w:tblGrid>
      <w:tr w:rsidR="00167F98" w:rsidRPr="00167F98" w14:paraId="2ABBFBB5" w14:textId="77777777" w:rsidTr="00D7434E">
        <w:tc>
          <w:tcPr>
            <w:tcW w:w="5031" w:type="dxa"/>
          </w:tcPr>
          <w:p w14:paraId="75D4B9DC" w14:textId="77777777" w:rsidR="00D7434E" w:rsidRPr="00167F98" w:rsidRDefault="00D7434E" w:rsidP="00D7434E">
            <w:pPr>
              <w:pStyle w:val="StandardDEEN"/>
              <w:spacing w:before="0"/>
              <w:jc w:val="center"/>
              <w:rPr>
                <w:rFonts w:ascii="Helv" w:hAnsi="Helv"/>
                <w:b/>
                <w:bCs/>
                <w:sz w:val="28"/>
              </w:rPr>
            </w:pPr>
            <w:r w:rsidRPr="00167F98">
              <w:rPr>
                <w:rFonts w:ascii="Helv" w:hAnsi="Helv"/>
                <w:b/>
                <w:sz w:val="28"/>
              </w:rPr>
              <w:lastRenderedPageBreak/>
              <w:t>Allgemeine Qualitätsvereinbarungen</w:t>
            </w:r>
          </w:p>
        </w:tc>
        <w:tc>
          <w:tcPr>
            <w:tcW w:w="5031" w:type="dxa"/>
          </w:tcPr>
          <w:p w14:paraId="7CEB1D9C" w14:textId="77777777" w:rsidR="00D7434E" w:rsidRPr="00167F98" w:rsidRDefault="00D7434E" w:rsidP="00D7434E">
            <w:pPr>
              <w:pStyle w:val="StandardDEEN"/>
              <w:spacing w:before="0"/>
              <w:jc w:val="center"/>
              <w:rPr>
                <w:rFonts w:ascii="Helv" w:hAnsi="Helv"/>
                <w:b/>
                <w:sz w:val="28"/>
                <w:lang w:val="en-GB"/>
              </w:rPr>
            </w:pPr>
            <w:r w:rsidRPr="00167F98">
              <w:rPr>
                <w:rFonts w:ascii="Helv" w:hAnsi="Helv"/>
                <w:b/>
                <w:sz w:val="28"/>
                <w:lang w:val="en-GB"/>
              </w:rPr>
              <w:t xml:space="preserve">General </w:t>
            </w:r>
          </w:p>
          <w:p w14:paraId="62DBF111" w14:textId="77777777" w:rsidR="00D7434E" w:rsidRPr="00167F98" w:rsidRDefault="00D7434E" w:rsidP="00D7434E">
            <w:pPr>
              <w:pStyle w:val="StandardDEEN"/>
              <w:spacing w:before="0"/>
              <w:jc w:val="center"/>
              <w:rPr>
                <w:rFonts w:ascii="Helv" w:hAnsi="Helv"/>
                <w:b/>
                <w:bCs/>
                <w:sz w:val="28"/>
              </w:rPr>
            </w:pPr>
            <w:r w:rsidRPr="00167F98">
              <w:rPr>
                <w:rFonts w:ascii="Helv" w:hAnsi="Helv"/>
                <w:b/>
                <w:sz w:val="28"/>
                <w:lang w:val="en-GB"/>
              </w:rPr>
              <w:t>Quality Agreements</w:t>
            </w:r>
          </w:p>
        </w:tc>
      </w:tr>
      <w:tr w:rsidR="00167F98" w:rsidRPr="00167F98" w14:paraId="7C947232" w14:textId="77777777" w:rsidTr="00D7434E">
        <w:tc>
          <w:tcPr>
            <w:tcW w:w="5031" w:type="dxa"/>
          </w:tcPr>
          <w:p w14:paraId="08B42320" w14:textId="77777777" w:rsidR="00D7434E" w:rsidRPr="00167F98" w:rsidRDefault="00D7434E" w:rsidP="00D7434E">
            <w:pPr>
              <w:pStyle w:val="StandardDEEN"/>
              <w:rPr>
                <w:rFonts w:ascii="Helv" w:hAnsi="Helv"/>
                <w:b/>
                <w:sz w:val="28"/>
              </w:rPr>
            </w:pPr>
            <w:r w:rsidRPr="00167F98">
              <w:rPr>
                <w:rFonts w:ascii="Helv" w:hAnsi="Helv"/>
                <w:b/>
                <w:sz w:val="28"/>
              </w:rPr>
              <w:t>Inhalt</w:t>
            </w:r>
          </w:p>
        </w:tc>
        <w:tc>
          <w:tcPr>
            <w:tcW w:w="5031" w:type="dxa"/>
          </w:tcPr>
          <w:p w14:paraId="01B44A56" w14:textId="77777777" w:rsidR="00D7434E" w:rsidRPr="00167F98" w:rsidRDefault="00D7434E" w:rsidP="00D7434E">
            <w:pPr>
              <w:pStyle w:val="StandardDEEN"/>
              <w:rPr>
                <w:rFonts w:ascii="Helv" w:hAnsi="Helv"/>
                <w:b/>
                <w:bCs/>
                <w:sz w:val="28"/>
              </w:rPr>
            </w:pPr>
            <w:r w:rsidRPr="00167F98">
              <w:rPr>
                <w:rFonts w:ascii="Helv" w:hAnsi="Helv"/>
                <w:b/>
                <w:sz w:val="28"/>
                <w:lang w:val="en-GB"/>
              </w:rPr>
              <w:t>Table of contents</w:t>
            </w:r>
          </w:p>
        </w:tc>
      </w:tr>
    </w:tbl>
    <w:sdt>
      <w:sdtPr>
        <w:rPr>
          <w:b/>
          <w:bCs/>
        </w:rPr>
        <w:id w:val="831952248"/>
        <w:docPartObj>
          <w:docPartGallery w:val="Table of Contents"/>
          <w:docPartUnique/>
        </w:docPartObj>
      </w:sdtPr>
      <w:sdtEndPr>
        <w:rPr>
          <w:b w:val="0"/>
          <w:bCs w:val="0"/>
        </w:rPr>
      </w:sdtEndPr>
      <w:sdtContent>
        <w:p w14:paraId="65EDE7C4" w14:textId="77777777" w:rsidR="001954AE" w:rsidRPr="00167F98" w:rsidRDefault="001954AE" w:rsidP="00D7434E"/>
        <w:p w14:paraId="72E147DB" w14:textId="66258749" w:rsidR="00D7434E" w:rsidRPr="00695123" w:rsidRDefault="001954AE">
          <w:pPr>
            <w:pStyle w:val="Verzeichnis1"/>
            <w:rPr>
              <w:rFonts w:ascii="Arial" w:eastAsiaTheme="minorEastAsia" w:hAnsi="Arial" w:cs="Arial"/>
              <w:noProof/>
              <w:sz w:val="20"/>
            </w:rPr>
          </w:pPr>
          <w:r w:rsidRPr="00167F98">
            <w:rPr>
              <w:rFonts w:ascii="Arial" w:hAnsi="Arial" w:cs="Arial"/>
              <w:sz w:val="20"/>
            </w:rPr>
            <w:fldChar w:fldCharType="begin"/>
          </w:r>
          <w:r w:rsidRPr="00167F98">
            <w:rPr>
              <w:rFonts w:ascii="Arial" w:hAnsi="Arial" w:cs="Arial"/>
              <w:sz w:val="20"/>
            </w:rPr>
            <w:instrText xml:space="preserve"> TOC \o "1-3" \h \z \u </w:instrText>
          </w:r>
          <w:r w:rsidRPr="00167F98">
            <w:rPr>
              <w:rFonts w:ascii="Arial" w:hAnsi="Arial" w:cs="Arial"/>
              <w:sz w:val="20"/>
            </w:rPr>
            <w:fldChar w:fldCharType="separate"/>
          </w:r>
          <w:hyperlink w:anchor="_Toc492643801" w:history="1">
            <w:r w:rsidR="00D7434E" w:rsidRPr="00695123">
              <w:rPr>
                <w:rStyle w:val="Hyperlink"/>
                <w:rFonts w:ascii="Arial" w:hAnsi="Arial" w:cs="Arial"/>
                <w:noProof/>
                <w:color w:val="auto"/>
                <w:sz w:val="20"/>
              </w:rPr>
              <w:t>Präambel</w:t>
            </w:r>
            <w:r w:rsidR="00D7434E" w:rsidRPr="00695123">
              <w:rPr>
                <w:rFonts w:ascii="Arial" w:hAnsi="Arial" w:cs="Arial"/>
                <w:noProof/>
                <w:webHidden/>
                <w:sz w:val="20"/>
              </w:rPr>
              <w:tab/>
            </w:r>
            <w:r w:rsidR="00D7434E" w:rsidRPr="00695123">
              <w:rPr>
                <w:rFonts w:ascii="Arial" w:hAnsi="Arial" w:cs="Arial"/>
                <w:noProof/>
                <w:webHidden/>
                <w:sz w:val="20"/>
              </w:rPr>
              <w:fldChar w:fldCharType="begin"/>
            </w:r>
            <w:r w:rsidR="00D7434E" w:rsidRPr="00695123">
              <w:rPr>
                <w:rFonts w:ascii="Arial" w:hAnsi="Arial" w:cs="Arial"/>
                <w:noProof/>
                <w:webHidden/>
                <w:sz w:val="20"/>
              </w:rPr>
              <w:instrText xml:space="preserve"> PAGEREF _Toc492643801 \h </w:instrText>
            </w:r>
            <w:r w:rsidR="00D7434E" w:rsidRPr="00695123">
              <w:rPr>
                <w:rFonts w:ascii="Arial" w:hAnsi="Arial" w:cs="Arial"/>
                <w:noProof/>
                <w:webHidden/>
                <w:sz w:val="20"/>
              </w:rPr>
            </w:r>
            <w:r w:rsidR="00D7434E" w:rsidRPr="00695123">
              <w:rPr>
                <w:rFonts w:ascii="Arial" w:hAnsi="Arial" w:cs="Arial"/>
                <w:noProof/>
                <w:webHidden/>
                <w:sz w:val="20"/>
              </w:rPr>
              <w:fldChar w:fldCharType="separate"/>
            </w:r>
            <w:r w:rsidR="00174CF9" w:rsidRPr="00695123">
              <w:rPr>
                <w:rFonts w:ascii="Arial" w:hAnsi="Arial" w:cs="Arial"/>
                <w:noProof/>
                <w:webHidden/>
                <w:sz w:val="20"/>
              </w:rPr>
              <w:t>3</w:t>
            </w:r>
            <w:r w:rsidR="00D7434E" w:rsidRPr="00695123">
              <w:rPr>
                <w:rFonts w:ascii="Arial" w:hAnsi="Arial" w:cs="Arial"/>
                <w:noProof/>
                <w:webHidden/>
                <w:sz w:val="20"/>
              </w:rPr>
              <w:fldChar w:fldCharType="end"/>
            </w:r>
          </w:hyperlink>
        </w:p>
        <w:p w14:paraId="478E8DDA" w14:textId="5E6004ED" w:rsidR="00D7434E" w:rsidRPr="00695123" w:rsidRDefault="00D7434E">
          <w:pPr>
            <w:pStyle w:val="Verzeichnis1"/>
            <w:rPr>
              <w:rFonts w:ascii="Arial" w:eastAsiaTheme="minorEastAsia" w:hAnsi="Arial" w:cs="Arial"/>
              <w:noProof/>
              <w:sz w:val="20"/>
            </w:rPr>
          </w:pPr>
          <w:hyperlink w:anchor="_Toc492643802" w:history="1">
            <w:r w:rsidRPr="00695123">
              <w:rPr>
                <w:rStyle w:val="Hyperlink"/>
                <w:rFonts w:ascii="Arial" w:hAnsi="Arial" w:cs="Arial"/>
                <w:noProof/>
                <w:color w:val="auto"/>
                <w:sz w:val="20"/>
                <w:lang w:val="en-US"/>
              </w:rPr>
              <w:t>Preamble</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_Toc492643802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3</w:t>
            </w:r>
            <w:r w:rsidRPr="00695123">
              <w:rPr>
                <w:rFonts w:ascii="Arial" w:hAnsi="Arial" w:cs="Arial"/>
                <w:noProof/>
                <w:webHidden/>
                <w:sz w:val="20"/>
              </w:rPr>
              <w:fldChar w:fldCharType="end"/>
            </w:r>
          </w:hyperlink>
        </w:p>
        <w:p w14:paraId="42E4B03F" w14:textId="45EB3C4A" w:rsidR="00D7434E" w:rsidRPr="00695123" w:rsidRDefault="00D7434E">
          <w:pPr>
            <w:pStyle w:val="Verzeichnis1"/>
            <w:rPr>
              <w:rFonts w:ascii="Arial" w:eastAsiaTheme="minorEastAsia" w:hAnsi="Arial" w:cs="Arial"/>
              <w:noProof/>
              <w:sz w:val="20"/>
            </w:rPr>
          </w:pPr>
          <w:hyperlink w:anchor="_Toc492643803" w:history="1">
            <w:r w:rsidRPr="00695123">
              <w:rPr>
                <w:rStyle w:val="Hyperlink"/>
                <w:rFonts w:ascii="Arial" w:hAnsi="Arial" w:cs="Arial"/>
                <w:noProof/>
                <w:color w:val="auto"/>
                <w:sz w:val="20"/>
              </w:rPr>
              <w:t>§ 1. Geltungsbereich</w:t>
            </w:r>
            <w:r w:rsidRPr="00695123">
              <w:rPr>
                <w:rFonts w:ascii="Arial" w:hAnsi="Arial" w:cs="Arial"/>
                <w:noProof/>
                <w:webHidden/>
                <w:sz w:val="20"/>
              </w:rPr>
              <w:tab/>
            </w:r>
            <w:r w:rsidR="00961CC6" w:rsidRPr="00695123">
              <w:rPr>
                <w:rFonts w:ascii="Arial" w:hAnsi="Arial" w:cs="Arial"/>
                <w:noProof/>
                <w:webHidden/>
                <w:sz w:val="20"/>
              </w:rPr>
              <w:t>3</w:t>
            </w:r>
          </w:hyperlink>
        </w:p>
        <w:p w14:paraId="5A4A48BC" w14:textId="548761BE" w:rsidR="00D7434E" w:rsidRPr="00695123" w:rsidRDefault="00D7434E">
          <w:pPr>
            <w:pStyle w:val="Verzeichnis1"/>
            <w:rPr>
              <w:rFonts w:ascii="Arial" w:eastAsiaTheme="minorEastAsia" w:hAnsi="Arial" w:cs="Arial"/>
              <w:noProof/>
              <w:sz w:val="20"/>
            </w:rPr>
          </w:pPr>
          <w:hyperlink w:anchor="_Toc492643804" w:history="1">
            <w:r w:rsidRPr="00695123">
              <w:rPr>
                <w:rStyle w:val="Hyperlink"/>
                <w:rFonts w:ascii="Arial" w:hAnsi="Arial" w:cs="Arial"/>
                <w:noProof/>
                <w:color w:val="auto"/>
                <w:sz w:val="20"/>
                <w:lang w:val="en-US"/>
              </w:rPr>
              <w:t>§ 1. Scope</w:t>
            </w:r>
            <w:r w:rsidRPr="00695123">
              <w:rPr>
                <w:rFonts w:ascii="Arial" w:hAnsi="Arial" w:cs="Arial"/>
                <w:noProof/>
                <w:webHidden/>
                <w:sz w:val="20"/>
              </w:rPr>
              <w:tab/>
            </w:r>
            <w:r w:rsidR="00961CC6" w:rsidRPr="00695123">
              <w:rPr>
                <w:rFonts w:ascii="Arial" w:hAnsi="Arial" w:cs="Arial"/>
                <w:noProof/>
                <w:webHidden/>
                <w:sz w:val="20"/>
              </w:rPr>
              <w:t>3</w:t>
            </w:r>
          </w:hyperlink>
        </w:p>
        <w:p w14:paraId="6ED54B0E" w14:textId="3C2803FC" w:rsidR="00D7434E" w:rsidRPr="00695123" w:rsidRDefault="00D7434E">
          <w:pPr>
            <w:pStyle w:val="Verzeichnis1"/>
            <w:rPr>
              <w:rFonts w:ascii="Arial" w:eastAsiaTheme="minorEastAsia" w:hAnsi="Arial" w:cs="Arial"/>
              <w:noProof/>
              <w:sz w:val="20"/>
            </w:rPr>
          </w:pPr>
          <w:hyperlink w:anchor="_Toc492643805" w:history="1">
            <w:r w:rsidRPr="00695123">
              <w:rPr>
                <w:rStyle w:val="Hyperlink"/>
                <w:rFonts w:ascii="Arial" w:hAnsi="Arial" w:cs="Arial"/>
                <w:noProof/>
                <w:color w:val="auto"/>
                <w:sz w:val="20"/>
              </w:rPr>
              <w:t>§ 2. Technische Unterlagen und Anforderungen</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_Toc492643805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4</w:t>
            </w:r>
            <w:r w:rsidRPr="00695123">
              <w:rPr>
                <w:rFonts w:ascii="Arial" w:hAnsi="Arial" w:cs="Arial"/>
                <w:noProof/>
                <w:webHidden/>
                <w:sz w:val="20"/>
              </w:rPr>
              <w:fldChar w:fldCharType="end"/>
            </w:r>
          </w:hyperlink>
        </w:p>
        <w:p w14:paraId="07AD5478" w14:textId="00E15D7D" w:rsidR="00D7434E" w:rsidRPr="00695123" w:rsidRDefault="00D7434E">
          <w:pPr>
            <w:pStyle w:val="Verzeichnis1"/>
            <w:rPr>
              <w:rFonts w:ascii="Arial" w:eastAsiaTheme="minorEastAsia" w:hAnsi="Arial" w:cs="Arial"/>
              <w:noProof/>
              <w:sz w:val="20"/>
            </w:rPr>
          </w:pPr>
          <w:hyperlink w:anchor="_Toc492643806" w:history="1">
            <w:r w:rsidRPr="00695123">
              <w:rPr>
                <w:rStyle w:val="Hyperlink"/>
                <w:rFonts w:ascii="Arial" w:hAnsi="Arial" w:cs="Arial"/>
                <w:noProof/>
                <w:color w:val="auto"/>
                <w:sz w:val="20"/>
                <w:lang w:val="en-US"/>
              </w:rPr>
              <w:t>§ 2. Technical documents and requirements</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_Toc492643806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4</w:t>
            </w:r>
            <w:r w:rsidRPr="00695123">
              <w:rPr>
                <w:rFonts w:ascii="Arial" w:hAnsi="Arial" w:cs="Arial"/>
                <w:noProof/>
                <w:webHidden/>
                <w:sz w:val="20"/>
              </w:rPr>
              <w:fldChar w:fldCharType="end"/>
            </w:r>
          </w:hyperlink>
        </w:p>
        <w:p w14:paraId="1F8E4727" w14:textId="4B5BE1EC" w:rsidR="00D7434E" w:rsidRPr="00695123" w:rsidRDefault="00D7434E">
          <w:pPr>
            <w:pStyle w:val="Verzeichnis1"/>
            <w:rPr>
              <w:rFonts w:ascii="Arial" w:eastAsiaTheme="minorEastAsia" w:hAnsi="Arial" w:cs="Arial"/>
              <w:noProof/>
              <w:sz w:val="20"/>
            </w:rPr>
          </w:pPr>
          <w:hyperlink w:anchor="_Toc492643807" w:history="1">
            <w:r w:rsidRPr="00695123">
              <w:rPr>
                <w:rStyle w:val="Hyperlink"/>
                <w:rFonts w:ascii="Arial" w:hAnsi="Arial" w:cs="Arial"/>
                <w:noProof/>
                <w:color w:val="auto"/>
                <w:sz w:val="20"/>
              </w:rPr>
              <w:t>§ 3. Allgemeine Anforderungen an das Qualitätsmanagementsystem</w:t>
            </w:r>
            <w:r w:rsidRPr="00695123">
              <w:rPr>
                <w:rFonts w:ascii="Arial" w:hAnsi="Arial" w:cs="Arial"/>
                <w:noProof/>
                <w:webHidden/>
                <w:sz w:val="20"/>
              </w:rPr>
              <w:tab/>
            </w:r>
            <w:r w:rsidR="00961CC6" w:rsidRPr="00695123">
              <w:rPr>
                <w:rFonts w:ascii="Arial" w:hAnsi="Arial" w:cs="Arial"/>
                <w:noProof/>
                <w:webHidden/>
                <w:sz w:val="20"/>
              </w:rPr>
              <w:t>4</w:t>
            </w:r>
          </w:hyperlink>
        </w:p>
        <w:p w14:paraId="304C688E" w14:textId="03CF348B" w:rsidR="00D7434E" w:rsidRPr="00695123" w:rsidRDefault="00D7434E">
          <w:pPr>
            <w:pStyle w:val="Verzeichnis1"/>
            <w:rPr>
              <w:rFonts w:ascii="Arial" w:eastAsiaTheme="minorEastAsia" w:hAnsi="Arial" w:cs="Arial"/>
              <w:noProof/>
              <w:sz w:val="20"/>
            </w:rPr>
          </w:pPr>
          <w:hyperlink w:anchor="_Toc492643808" w:history="1">
            <w:r w:rsidRPr="00695123">
              <w:rPr>
                <w:rStyle w:val="Hyperlink"/>
                <w:rFonts w:ascii="Arial" w:hAnsi="Arial" w:cs="Arial"/>
                <w:noProof/>
                <w:color w:val="auto"/>
                <w:sz w:val="20"/>
                <w:lang w:val="en-US"/>
              </w:rPr>
              <w:t>§ 3. General requirements placed on the Quality Management System</w:t>
            </w:r>
            <w:r w:rsidRPr="00695123">
              <w:rPr>
                <w:rFonts w:ascii="Arial" w:hAnsi="Arial" w:cs="Arial"/>
                <w:noProof/>
                <w:webHidden/>
                <w:sz w:val="20"/>
              </w:rPr>
              <w:tab/>
            </w:r>
            <w:r w:rsidR="00961CC6" w:rsidRPr="00695123">
              <w:rPr>
                <w:rFonts w:ascii="Arial" w:hAnsi="Arial" w:cs="Arial"/>
                <w:noProof/>
                <w:webHidden/>
                <w:sz w:val="20"/>
              </w:rPr>
              <w:t>4</w:t>
            </w:r>
          </w:hyperlink>
        </w:p>
        <w:p w14:paraId="7E53CAB3" w14:textId="65033E29" w:rsidR="00D7434E" w:rsidRPr="00695123" w:rsidRDefault="00D7434E">
          <w:pPr>
            <w:pStyle w:val="Verzeichnis1"/>
            <w:rPr>
              <w:rFonts w:ascii="Arial" w:eastAsiaTheme="minorEastAsia" w:hAnsi="Arial" w:cs="Arial"/>
              <w:noProof/>
              <w:sz w:val="20"/>
            </w:rPr>
          </w:pPr>
          <w:hyperlink w:anchor="_Toc492643809" w:history="1">
            <w:r w:rsidRPr="00695123">
              <w:rPr>
                <w:rStyle w:val="Hyperlink"/>
                <w:rFonts w:ascii="Arial" w:hAnsi="Arial" w:cs="Arial"/>
                <w:noProof/>
                <w:color w:val="auto"/>
                <w:sz w:val="20"/>
              </w:rPr>
              <w:t>§ 4. Produktionsprozess- und Produktfreigabe (PPF)</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_Toc492643809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5</w:t>
            </w:r>
            <w:r w:rsidRPr="00695123">
              <w:rPr>
                <w:rFonts w:ascii="Arial" w:hAnsi="Arial" w:cs="Arial"/>
                <w:noProof/>
                <w:webHidden/>
                <w:sz w:val="20"/>
              </w:rPr>
              <w:fldChar w:fldCharType="end"/>
            </w:r>
          </w:hyperlink>
        </w:p>
        <w:p w14:paraId="6F94414A" w14:textId="3BAFD3F7" w:rsidR="00D7434E" w:rsidRPr="00695123" w:rsidRDefault="00D7434E">
          <w:pPr>
            <w:pStyle w:val="Verzeichnis1"/>
          </w:pPr>
          <w:hyperlink w:anchor="_Toc492643810" w:history="1">
            <w:r w:rsidRPr="00695123">
              <w:rPr>
                <w:rStyle w:val="Hyperlink"/>
                <w:rFonts w:ascii="Arial" w:hAnsi="Arial" w:cs="Arial"/>
                <w:noProof/>
                <w:color w:val="auto"/>
                <w:sz w:val="20"/>
                <w:lang w:val="en-US"/>
              </w:rPr>
              <w:t>§ 4. Production process and product approval (PPF)</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_Toc492643810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5</w:t>
            </w:r>
            <w:r w:rsidRPr="00695123">
              <w:rPr>
                <w:rFonts w:ascii="Arial" w:hAnsi="Arial" w:cs="Arial"/>
                <w:noProof/>
                <w:webHidden/>
                <w:sz w:val="20"/>
              </w:rPr>
              <w:fldChar w:fldCharType="end"/>
            </w:r>
          </w:hyperlink>
        </w:p>
        <w:p w14:paraId="62935285" w14:textId="4E7FFA6E" w:rsidR="00174CF9" w:rsidRPr="00695123" w:rsidRDefault="00174CF9" w:rsidP="00174CF9">
          <w:pPr>
            <w:pStyle w:val="Verzeichnis1"/>
          </w:pPr>
          <w:hyperlink w:anchor="_Toc492643810" w:history="1">
            <w:r w:rsidRPr="00695123">
              <w:rPr>
                <w:rStyle w:val="Hyperlink"/>
                <w:rFonts w:ascii="Arial" w:hAnsi="Arial" w:cs="Arial"/>
                <w:noProof/>
                <w:color w:val="auto"/>
                <w:sz w:val="20"/>
                <w:lang w:val="en-US"/>
              </w:rPr>
              <w:t>§ 5. Herstellbarkeitsanalyse</w:t>
            </w:r>
            <w:r w:rsidRPr="00695123">
              <w:rPr>
                <w:rFonts w:ascii="Arial" w:hAnsi="Arial" w:cs="Arial"/>
                <w:noProof/>
                <w:webHidden/>
                <w:sz w:val="20"/>
              </w:rPr>
              <w:tab/>
              <w:t>6</w:t>
            </w:r>
          </w:hyperlink>
        </w:p>
        <w:p w14:paraId="26CF9170" w14:textId="72E428E5" w:rsidR="00174CF9" w:rsidRPr="00695123" w:rsidRDefault="00174CF9" w:rsidP="00174CF9">
          <w:pPr>
            <w:pStyle w:val="Verzeichnis1"/>
          </w:pPr>
          <w:hyperlink w:anchor="_Toc492643810" w:history="1">
            <w:r w:rsidRPr="00695123">
              <w:rPr>
                <w:rStyle w:val="Hyperlink"/>
                <w:rFonts w:ascii="Arial" w:hAnsi="Arial" w:cs="Arial"/>
                <w:noProof/>
                <w:color w:val="auto"/>
                <w:sz w:val="20"/>
                <w:lang w:val="en-US"/>
              </w:rPr>
              <w:t>§ 5. Feasibility study</w:t>
            </w:r>
            <w:r w:rsidRPr="00695123">
              <w:rPr>
                <w:rFonts w:ascii="Arial" w:hAnsi="Arial" w:cs="Arial"/>
                <w:noProof/>
                <w:webHidden/>
                <w:sz w:val="20"/>
              </w:rPr>
              <w:tab/>
              <w:t>6</w:t>
            </w:r>
          </w:hyperlink>
        </w:p>
        <w:p w14:paraId="54CA6F16" w14:textId="32E887DB" w:rsidR="00174CF9" w:rsidRPr="00695123" w:rsidRDefault="00174CF9" w:rsidP="00174CF9">
          <w:pPr>
            <w:pStyle w:val="Verzeichnis1"/>
          </w:pPr>
          <w:hyperlink w:anchor="_Toc492643810" w:history="1">
            <w:r w:rsidRPr="00695123">
              <w:rPr>
                <w:rStyle w:val="Hyperlink"/>
                <w:rFonts w:ascii="Arial" w:hAnsi="Arial" w:cs="Arial"/>
                <w:noProof/>
                <w:color w:val="auto"/>
                <w:sz w:val="20"/>
                <w:lang w:val="en-US"/>
              </w:rPr>
              <w:t>§ 6. APQP Qualitätsplanung</w:t>
            </w:r>
            <w:r w:rsidRPr="00695123">
              <w:rPr>
                <w:rFonts w:ascii="Arial" w:hAnsi="Arial" w:cs="Arial"/>
                <w:noProof/>
                <w:webHidden/>
                <w:sz w:val="20"/>
              </w:rPr>
              <w:tab/>
            </w:r>
            <w:r w:rsidR="00961CC6" w:rsidRPr="00695123">
              <w:rPr>
                <w:rFonts w:ascii="Arial" w:hAnsi="Arial" w:cs="Arial"/>
                <w:noProof/>
                <w:webHidden/>
                <w:sz w:val="20"/>
              </w:rPr>
              <w:t>6</w:t>
            </w:r>
          </w:hyperlink>
        </w:p>
        <w:p w14:paraId="75147515" w14:textId="1CDF94EC" w:rsidR="00174CF9" w:rsidRPr="00695123" w:rsidRDefault="00174CF9" w:rsidP="00174CF9">
          <w:pPr>
            <w:pStyle w:val="Verzeichnis1"/>
          </w:pPr>
          <w:hyperlink w:anchor="_Toc492643810" w:history="1">
            <w:r w:rsidRPr="00695123">
              <w:rPr>
                <w:rStyle w:val="Hyperlink"/>
                <w:rFonts w:ascii="Arial" w:hAnsi="Arial" w:cs="Arial"/>
                <w:noProof/>
                <w:color w:val="auto"/>
                <w:sz w:val="20"/>
                <w:lang w:val="en-US"/>
              </w:rPr>
              <w:t>§ 6. APQP Advanced Product Quality Planning</w:t>
            </w:r>
            <w:r w:rsidRPr="00695123">
              <w:rPr>
                <w:rFonts w:ascii="Arial" w:hAnsi="Arial" w:cs="Arial"/>
                <w:noProof/>
                <w:webHidden/>
                <w:sz w:val="20"/>
              </w:rPr>
              <w:tab/>
            </w:r>
            <w:r w:rsidR="00961CC6" w:rsidRPr="00695123">
              <w:rPr>
                <w:rFonts w:ascii="Arial" w:hAnsi="Arial" w:cs="Arial"/>
                <w:noProof/>
                <w:webHidden/>
                <w:sz w:val="20"/>
              </w:rPr>
              <w:t>6</w:t>
            </w:r>
          </w:hyperlink>
        </w:p>
        <w:p w14:paraId="2DD46D1F" w14:textId="1DBB0E27" w:rsidR="004B3D6D" w:rsidRPr="00695123" w:rsidRDefault="004B3D6D" w:rsidP="004B3D6D">
          <w:pPr>
            <w:pStyle w:val="Verzeichnis1"/>
          </w:pPr>
          <w:hyperlink w:anchor="_Toc492643810" w:history="1">
            <w:r w:rsidRPr="00695123">
              <w:rPr>
                <w:rStyle w:val="Hyperlink"/>
                <w:rFonts w:ascii="Arial" w:hAnsi="Arial" w:cs="Arial"/>
                <w:noProof/>
                <w:color w:val="auto"/>
                <w:sz w:val="20"/>
                <w:lang w:val="en-US"/>
              </w:rPr>
              <w:t xml:space="preserve">§ 7. </w:t>
            </w:r>
            <w:r w:rsidRPr="00695123">
              <w:rPr>
                <w:rStyle w:val="Hyperlink"/>
                <w:rFonts w:ascii="Arial" w:hAnsi="Arial" w:cs="Arial"/>
                <w:noProof/>
                <w:color w:val="auto"/>
                <w:sz w:val="20"/>
              </w:rPr>
              <w:t>Produkt- und Prozess-FMEA</w:t>
            </w:r>
            <w:r w:rsidRPr="00695123">
              <w:rPr>
                <w:rFonts w:ascii="Arial" w:hAnsi="Arial" w:cs="Arial"/>
                <w:noProof/>
                <w:webHidden/>
                <w:sz w:val="20"/>
              </w:rPr>
              <w:tab/>
              <w:t>7</w:t>
            </w:r>
          </w:hyperlink>
        </w:p>
        <w:p w14:paraId="496B08E4" w14:textId="5AEBB1E8" w:rsidR="004B3D6D" w:rsidRPr="00695123" w:rsidRDefault="004B3D6D" w:rsidP="004B3D6D">
          <w:pPr>
            <w:pStyle w:val="Verzeichnis1"/>
          </w:pPr>
          <w:hyperlink w:anchor="_Toc492643810" w:history="1">
            <w:r w:rsidRPr="00695123">
              <w:rPr>
                <w:rStyle w:val="Hyperlink"/>
                <w:rFonts w:ascii="Arial" w:hAnsi="Arial" w:cs="Arial"/>
                <w:noProof/>
                <w:color w:val="auto"/>
                <w:sz w:val="20"/>
                <w:lang w:val="en-US"/>
              </w:rPr>
              <w:t xml:space="preserve">§ 7. </w:t>
            </w:r>
            <w:r w:rsidRPr="00695123">
              <w:rPr>
                <w:rStyle w:val="Hyperlink"/>
                <w:rFonts w:ascii="Arial" w:hAnsi="Arial" w:cs="Arial"/>
                <w:noProof/>
                <w:color w:val="auto"/>
                <w:sz w:val="20"/>
              </w:rPr>
              <w:t>Product- und Process-FMEA</w:t>
            </w:r>
            <w:r w:rsidRPr="00695123">
              <w:rPr>
                <w:rFonts w:ascii="Arial" w:hAnsi="Arial" w:cs="Arial"/>
                <w:noProof/>
                <w:webHidden/>
                <w:sz w:val="20"/>
              </w:rPr>
              <w:tab/>
              <w:t>7</w:t>
            </w:r>
          </w:hyperlink>
        </w:p>
        <w:p w14:paraId="2599B549" w14:textId="61C4DB87" w:rsidR="00D7434E" w:rsidRPr="00695123" w:rsidRDefault="00D7434E">
          <w:pPr>
            <w:pStyle w:val="Verzeichnis1"/>
            <w:rPr>
              <w:rFonts w:ascii="Arial" w:eastAsiaTheme="minorEastAsia" w:hAnsi="Arial" w:cs="Arial"/>
              <w:noProof/>
              <w:sz w:val="20"/>
            </w:rPr>
          </w:pPr>
          <w:hyperlink w:anchor="_Toc492643811" w:history="1">
            <w:r w:rsidRPr="00695123">
              <w:rPr>
                <w:rStyle w:val="Hyperlink"/>
                <w:rFonts w:ascii="Arial" w:hAnsi="Arial" w:cs="Arial"/>
                <w:noProof/>
                <w:color w:val="auto"/>
                <w:sz w:val="20"/>
              </w:rPr>
              <w:t xml:space="preserve">§ </w:t>
            </w:r>
            <w:r w:rsidR="003A3648" w:rsidRPr="00695123">
              <w:rPr>
                <w:rStyle w:val="Hyperlink"/>
                <w:rFonts w:ascii="Arial" w:hAnsi="Arial" w:cs="Arial"/>
                <w:noProof/>
                <w:color w:val="auto"/>
                <w:sz w:val="20"/>
              </w:rPr>
              <w:t>8</w:t>
            </w:r>
            <w:r w:rsidRPr="00695123">
              <w:rPr>
                <w:rStyle w:val="Hyperlink"/>
                <w:rFonts w:ascii="Arial" w:hAnsi="Arial" w:cs="Arial"/>
                <w:noProof/>
                <w:color w:val="auto"/>
                <w:sz w:val="20"/>
              </w:rPr>
              <w:t xml:space="preserve">. </w:t>
            </w:r>
            <w:r w:rsidR="007E2D90" w:rsidRPr="00695123">
              <w:rPr>
                <w:sz w:val="20"/>
              </w:rPr>
              <w:t>Product Safety and Conformity Representative (PSCR)</w:t>
            </w:r>
            <w:r w:rsidRPr="00695123">
              <w:rPr>
                <w:rFonts w:ascii="Arial" w:hAnsi="Arial" w:cs="Arial"/>
                <w:noProof/>
                <w:webHidden/>
                <w:sz w:val="20"/>
              </w:rPr>
              <w:tab/>
            </w:r>
            <w:r w:rsidR="00961CC6" w:rsidRPr="00695123">
              <w:rPr>
                <w:rFonts w:ascii="Arial" w:hAnsi="Arial" w:cs="Arial"/>
                <w:noProof/>
                <w:webHidden/>
                <w:sz w:val="20"/>
              </w:rPr>
              <w:t>10</w:t>
            </w:r>
          </w:hyperlink>
        </w:p>
        <w:p w14:paraId="14CC7FAC" w14:textId="1329896C" w:rsidR="00D7434E" w:rsidRPr="00695123" w:rsidRDefault="00D7434E">
          <w:pPr>
            <w:pStyle w:val="Verzeichnis1"/>
            <w:rPr>
              <w:rFonts w:ascii="Arial" w:eastAsiaTheme="minorEastAsia" w:hAnsi="Arial" w:cs="Arial"/>
              <w:noProof/>
              <w:sz w:val="20"/>
            </w:rPr>
          </w:pPr>
          <w:hyperlink w:anchor="_Toc492643813" w:history="1">
            <w:r w:rsidRPr="00695123">
              <w:rPr>
                <w:rStyle w:val="Hyperlink"/>
                <w:rFonts w:ascii="Arial" w:hAnsi="Arial" w:cs="Arial"/>
                <w:noProof/>
                <w:color w:val="auto"/>
                <w:sz w:val="20"/>
              </w:rPr>
              <w:t xml:space="preserve">§ </w:t>
            </w:r>
            <w:r w:rsidR="003A3648" w:rsidRPr="00695123">
              <w:rPr>
                <w:rStyle w:val="Hyperlink"/>
                <w:rFonts w:ascii="Arial" w:hAnsi="Arial" w:cs="Arial"/>
                <w:noProof/>
                <w:color w:val="auto"/>
                <w:sz w:val="20"/>
              </w:rPr>
              <w:t>9</w:t>
            </w:r>
            <w:r w:rsidRPr="00695123">
              <w:rPr>
                <w:rStyle w:val="Hyperlink"/>
                <w:rFonts w:ascii="Arial" w:hAnsi="Arial" w:cs="Arial"/>
                <w:noProof/>
                <w:color w:val="auto"/>
                <w:sz w:val="20"/>
              </w:rPr>
              <w:t>. Abweichungen</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_Toc492643813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10</w:t>
            </w:r>
            <w:r w:rsidRPr="00695123">
              <w:rPr>
                <w:rFonts w:ascii="Arial" w:hAnsi="Arial" w:cs="Arial"/>
                <w:noProof/>
                <w:webHidden/>
                <w:sz w:val="20"/>
              </w:rPr>
              <w:fldChar w:fldCharType="end"/>
            </w:r>
          </w:hyperlink>
        </w:p>
        <w:p w14:paraId="044AAE46" w14:textId="2EF034E1" w:rsidR="00D7434E" w:rsidRPr="00695123" w:rsidRDefault="00D7434E">
          <w:pPr>
            <w:pStyle w:val="Verzeichnis1"/>
            <w:rPr>
              <w:rFonts w:ascii="Arial" w:eastAsiaTheme="minorEastAsia" w:hAnsi="Arial" w:cs="Arial"/>
              <w:noProof/>
              <w:sz w:val="20"/>
            </w:rPr>
          </w:pPr>
          <w:hyperlink w:anchor="_Toc492643814" w:history="1">
            <w:r w:rsidRPr="00695123">
              <w:rPr>
                <w:rStyle w:val="Hyperlink"/>
                <w:rFonts w:ascii="Arial" w:hAnsi="Arial" w:cs="Arial"/>
                <w:noProof/>
                <w:color w:val="auto"/>
                <w:sz w:val="20"/>
                <w:lang w:val="en-US"/>
              </w:rPr>
              <w:t xml:space="preserve">§ </w:t>
            </w:r>
            <w:r w:rsidR="003A3648" w:rsidRPr="00695123">
              <w:rPr>
                <w:rStyle w:val="Hyperlink"/>
                <w:rFonts w:ascii="Arial" w:hAnsi="Arial" w:cs="Arial"/>
                <w:noProof/>
                <w:color w:val="auto"/>
                <w:sz w:val="20"/>
                <w:lang w:val="en-US"/>
              </w:rPr>
              <w:t>9</w:t>
            </w:r>
            <w:r w:rsidRPr="00695123">
              <w:rPr>
                <w:rStyle w:val="Hyperlink"/>
                <w:rFonts w:ascii="Arial" w:hAnsi="Arial" w:cs="Arial"/>
                <w:noProof/>
                <w:color w:val="auto"/>
                <w:sz w:val="20"/>
                <w:lang w:val="en-US"/>
              </w:rPr>
              <w:t>. Deviations</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_Toc492643814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10</w:t>
            </w:r>
            <w:r w:rsidRPr="00695123">
              <w:rPr>
                <w:rFonts w:ascii="Arial" w:hAnsi="Arial" w:cs="Arial"/>
                <w:noProof/>
                <w:webHidden/>
                <w:sz w:val="20"/>
              </w:rPr>
              <w:fldChar w:fldCharType="end"/>
            </w:r>
          </w:hyperlink>
        </w:p>
        <w:p w14:paraId="400C5D2A" w14:textId="60B8EA23" w:rsidR="00D7434E" w:rsidRPr="00695123" w:rsidRDefault="00D7434E">
          <w:pPr>
            <w:pStyle w:val="Verzeichnis1"/>
            <w:rPr>
              <w:rFonts w:ascii="Arial" w:eastAsiaTheme="minorEastAsia" w:hAnsi="Arial" w:cs="Arial"/>
              <w:noProof/>
              <w:sz w:val="20"/>
            </w:rPr>
          </w:pPr>
          <w:hyperlink w:anchor="_Toc492643815" w:history="1">
            <w:r w:rsidRPr="00695123">
              <w:rPr>
                <w:rStyle w:val="Hyperlink"/>
                <w:rFonts w:ascii="Arial" w:hAnsi="Arial" w:cs="Arial"/>
                <w:noProof/>
                <w:color w:val="auto"/>
                <w:sz w:val="20"/>
              </w:rPr>
              <w:t xml:space="preserve">§ </w:t>
            </w:r>
            <w:r w:rsidR="00424881" w:rsidRPr="00695123">
              <w:rPr>
                <w:rStyle w:val="Hyperlink"/>
                <w:rFonts w:ascii="Arial" w:hAnsi="Arial" w:cs="Arial"/>
                <w:noProof/>
                <w:color w:val="auto"/>
                <w:sz w:val="20"/>
              </w:rPr>
              <w:t>1</w:t>
            </w:r>
            <w:r w:rsidR="003A3648" w:rsidRPr="00695123">
              <w:rPr>
                <w:rStyle w:val="Hyperlink"/>
                <w:rFonts w:ascii="Arial" w:hAnsi="Arial" w:cs="Arial"/>
                <w:noProof/>
                <w:color w:val="auto"/>
                <w:sz w:val="20"/>
              </w:rPr>
              <w:t>0</w:t>
            </w:r>
            <w:r w:rsidRPr="00695123">
              <w:rPr>
                <w:rStyle w:val="Hyperlink"/>
                <w:rFonts w:ascii="Arial" w:hAnsi="Arial" w:cs="Arial"/>
                <w:noProof/>
                <w:color w:val="auto"/>
                <w:sz w:val="20"/>
              </w:rPr>
              <w:t>. Zusicherung / Änderungsmanagement</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_Toc492643815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10</w:t>
            </w:r>
            <w:r w:rsidRPr="00695123">
              <w:rPr>
                <w:rFonts w:ascii="Arial" w:hAnsi="Arial" w:cs="Arial"/>
                <w:noProof/>
                <w:webHidden/>
                <w:sz w:val="20"/>
              </w:rPr>
              <w:fldChar w:fldCharType="end"/>
            </w:r>
          </w:hyperlink>
        </w:p>
        <w:p w14:paraId="355EF4C4" w14:textId="2C78A849" w:rsidR="00D7434E" w:rsidRPr="00695123" w:rsidRDefault="00D7434E">
          <w:pPr>
            <w:pStyle w:val="Verzeichnis1"/>
            <w:rPr>
              <w:rFonts w:ascii="Arial" w:eastAsiaTheme="minorEastAsia" w:hAnsi="Arial" w:cs="Arial"/>
              <w:noProof/>
              <w:sz w:val="20"/>
            </w:rPr>
          </w:pPr>
          <w:hyperlink w:anchor="_Toc492643816" w:history="1">
            <w:r w:rsidRPr="00695123">
              <w:rPr>
                <w:rStyle w:val="Hyperlink"/>
                <w:rFonts w:ascii="Arial" w:hAnsi="Arial" w:cs="Arial"/>
                <w:noProof/>
                <w:color w:val="auto"/>
                <w:sz w:val="20"/>
                <w:lang w:val="en-US"/>
              </w:rPr>
              <w:t xml:space="preserve">§ </w:t>
            </w:r>
            <w:r w:rsidR="00424881" w:rsidRPr="00695123">
              <w:rPr>
                <w:rStyle w:val="Hyperlink"/>
                <w:rFonts w:ascii="Arial" w:hAnsi="Arial" w:cs="Arial"/>
                <w:noProof/>
                <w:color w:val="auto"/>
                <w:sz w:val="20"/>
                <w:lang w:val="en-US"/>
              </w:rPr>
              <w:t>1</w:t>
            </w:r>
            <w:r w:rsidR="003A3648" w:rsidRPr="00695123">
              <w:rPr>
                <w:rStyle w:val="Hyperlink"/>
                <w:rFonts w:ascii="Arial" w:hAnsi="Arial" w:cs="Arial"/>
                <w:noProof/>
                <w:color w:val="auto"/>
                <w:sz w:val="20"/>
                <w:lang w:val="en-US"/>
              </w:rPr>
              <w:t>0</w:t>
            </w:r>
            <w:r w:rsidRPr="00695123">
              <w:rPr>
                <w:rStyle w:val="Hyperlink"/>
                <w:rFonts w:ascii="Arial" w:hAnsi="Arial" w:cs="Arial"/>
                <w:noProof/>
                <w:color w:val="auto"/>
                <w:sz w:val="20"/>
                <w:lang w:val="en-US"/>
              </w:rPr>
              <w:t>. Change management</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_Toc492643816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10</w:t>
            </w:r>
            <w:r w:rsidRPr="00695123">
              <w:rPr>
                <w:rFonts w:ascii="Arial" w:hAnsi="Arial" w:cs="Arial"/>
                <w:noProof/>
                <w:webHidden/>
                <w:sz w:val="20"/>
              </w:rPr>
              <w:fldChar w:fldCharType="end"/>
            </w:r>
          </w:hyperlink>
        </w:p>
        <w:p w14:paraId="16E0DB3F" w14:textId="4EB8E509" w:rsidR="00D7434E" w:rsidRPr="00695123" w:rsidRDefault="00D7434E">
          <w:pPr>
            <w:pStyle w:val="Verzeichnis1"/>
            <w:rPr>
              <w:rFonts w:ascii="Arial" w:eastAsiaTheme="minorEastAsia" w:hAnsi="Arial" w:cs="Arial"/>
              <w:noProof/>
              <w:sz w:val="20"/>
            </w:rPr>
          </w:pPr>
          <w:hyperlink w:anchor="_Toc492643817" w:history="1">
            <w:r w:rsidRPr="00695123">
              <w:rPr>
                <w:rStyle w:val="Hyperlink"/>
                <w:rFonts w:ascii="Arial" w:hAnsi="Arial" w:cs="Arial"/>
                <w:noProof/>
                <w:color w:val="auto"/>
                <w:sz w:val="20"/>
              </w:rPr>
              <w:t xml:space="preserve">§ </w:t>
            </w:r>
            <w:r w:rsidR="003A3648" w:rsidRPr="00695123">
              <w:rPr>
                <w:rStyle w:val="Hyperlink"/>
                <w:rFonts w:ascii="Arial" w:hAnsi="Arial" w:cs="Arial"/>
                <w:noProof/>
                <w:color w:val="auto"/>
                <w:sz w:val="20"/>
              </w:rPr>
              <w:t>11</w:t>
            </w:r>
            <w:r w:rsidRPr="00695123">
              <w:rPr>
                <w:rStyle w:val="Hyperlink"/>
                <w:rFonts w:ascii="Arial" w:hAnsi="Arial" w:cs="Arial"/>
                <w:noProof/>
                <w:color w:val="auto"/>
                <w:sz w:val="20"/>
              </w:rPr>
              <w:t>. Rückverfolgbarkeit</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_Toc492643817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11</w:t>
            </w:r>
            <w:r w:rsidRPr="00695123">
              <w:rPr>
                <w:rFonts w:ascii="Arial" w:hAnsi="Arial" w:cs="Arial"/>
                <w:noProof/>
                <w:webHidden/>
                <w:sz w:val="20"/>
              </w:rPr>
              <w:fldChar w:fldCharType="end"/>
            </w:r>
          </w:hyperlink>
        </w:p>
        <w:p w14:paraId="4B47C3C5" w14:textId="3907D551" w:rsidR="00D7434E" w:rsidRPr="00695123" w:rsidRDefault="00D7434E">
          <w:pPr>
            <w:pStyle w:val="Verzeichnis1"/>
          </w:pPr>
          <w:hyperlink w:anchor="_Toc492643818" w:history="1">
            <w:r w:rsidRPr="00695123">
              <w:rPr>
                <w:rStyle w:val="Hyperlink"/>
                <w:rFonts w:ascii="Arial" w:hAnsi="Arial" w:cs="Arial"/>
                <w:noProof/>
                <w:color w:val="auto"/>
                <w:sz w:val="20"/>
                <w:lang w:val="en-US"/>
              </w:rPr>
              <w:t xml:space="preserve">§ </w:t>
            </w:r>
            <w:r w:rsidR="003A3648" w:rsidRPr="00695123">
              <w:rPr>
                <w:rStyle w:val="Hyperlink"/>
                <w:rFonts w:ascii="Arial" w:hAnsi="Arial" w:cs="Arial"/>
                <w:noProof/>
                <w:color w:val="auto"/>
                <w:sz w:val="20"/>
                <w:lang w:val="en-US"/>
              </w:rPr>
              <w:t>11</w:t>
            </w:r>
            <w:r w:rsidRPr="00695123">
              <w:rPr>
                <w:rStyle w:val="Hyperlink"/>
                <w:rFonts w:ascii="Arial" w:hAnsi="Arial" w:cs="Arial"/>
                <w:noProof/>
                <w:color w:val="auto"/>
                <w:sz w:val="20"/>
                <w:lang w:val="en-US"/>
              </w:rPr>
              <w:t>. Traceability</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_Toc492643818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11</w:t>
            </w:r>
            <w:r w:rsidRPr="00695123">
              <w:rPr>
                <w:rFonts w:ascii="Arial" w:hAnsi="Arial" w:cs="Arial"/>
                <w:noProof/>
                <w:webHidden/>
                <w:sz w:val="20"/>
              </w:rPr>
              <w:fldChar w:fldCharType="end"/>
            </w:r>
          </w:hyperlink>
        </w:p>
        <w:p w14:paraId="5F7E5DEA" w14:textId="1AAF5391" w:rsidR="00F844FF" w:rsidRPr="00695123" w:rsidRDefault="00F844FF" w:rsidP="00F844FF">
          <w:pPr>
            <w:pStyle w:val="Verzeichnis1"/>
          </w:pPr>
          <w:hyperlink w:anchor="_Toc492643810" w:history="1">
            <w:r w:rsidRPr="00695123">
              <w:rPr>
                <w:rStyle w:val="Hyperlink"/>
                <w:rFonts w:ascii="Arial" w:hAnsi="Arial" w:cs="Arial"/>
                <w:noProof/>
                <w:color w:val="auto"/>
                <w:sz w:val="20"/>
                <w:lang w:val="en-US"/>
              </w:rPr>
              <w:t xml:space="preserve">§ 12. </w:t>
            </w:r>
            <w:r w:rsidRPr="00695123">
              <w:rPr>
                <w:rStyle w:val="Hyperlink"/>
                <w:rFonts w:ascii="Arial" w:hAnsi="Arial" w:cs="Arial"/>
                <w:noProof/>
                <w:color w:val="auto"/>
                <w:sz w:val="20"/>
              </w:rPr>
              <w:t>Prüfverfahren und Prüfumfang</w:t>
            </w:r>
            <w:r w:rsidRPr="00695123">
              <w:rPr>
                <w:rFonts w:ascii="Arial" w:hAnsi="Arial" w:cs="Arial"/>
                <w:noProof/>
                <w:webHidden/>
                <w:sz w:val="20"/>
              </w:rPr>
              <w:tab/>
              <w:t>12</w:t>
            </w:r>
          </w:hyperlink>
        </w:p>
        <w:p w14:paraId="492C5FDA" w14:textId="3304C33E" w:rsidR="00221338" w:rsidRPr="00695123" w:rsidRDefault="00221338" w:rsidP="00221338">
          <w:pPr>
            <w:pStyle w:val="Verzeichnis1"/>
          </w:pPr>
          <w:hyperlink w:anchor="_Toc492643810" w:history="1">
            <w:r w:rsidRPr="00695123">
              <w:rPr>
                <w:rStyle w:val="Hyperlink"/>
                <w:rFonts w:ascii="Arial" w:hAnsi="Arial" w:cs="Arial"/>
                <w:noProof/>
                <w:color w:val="auto"/>
                <w:sz w:val="20"/>
                <w:lang w:val="en-US"/>
              </w:rPr>
              <w:t xml:space="preserve">§ 12. </w:t>
            </w:r>
            <w:r w:rsidRPr="00695123">
              <w:rPr>
                <w:rStyle w:val="Hyperlink"/>
                <w:rFonts w:ascii="Arial" w:hAnsi="Arial" w:cs="Arial"/>
                <w:noProof/>
                <w:color w:val="auto"/>
                <w:sz w:val="20"/>
              </w:rPr>
              <w:t>Test procedure and scope</w:t>
            </w:r>
            <w:r w:rsidRPr="00695123">
              <w:rPr>
                <w:rFonts w:ascii="Arial" w:hAnsi="Arial" w:cs="Arial"/>
                <w:noProof/>
                <w:webHidden/>
                <w:sz w:val="20"/>
              </w:rPr>
              <w:tab/>
              <w:t>12</w:t>
            </w:r>
          </w:hyperlink>
        </w:p>
        <w:p w14:paraId="11A3E647" w14:textId="6F5F5C89" w:rsidR="00BC5B99" w:rsidRPr="00695123" w:rsidRDefault="00BC5B99" w:rsidP="00BC5B99">
          <w:pPr>
            <w:pStyle w:val="Verzeichnis1"/>
          </w:pPr>
          <w:hyperlink w:anchor="_Toc492643810" w:history="1">
            <w:r w:rsidRPr="00695123">
              <w:rPr>
                <w:rStyle w:val="Hyperlink"/>
                <w:rFonts w:ascii="Arial" w:hAnsi="Arial" w:cs="Arial"/>
                <w:noProof/>
                <w:color w:val="auto"/>
                <w:sz w:val="20"/>
                <w:lang w:val="en-US"/>
              </w:rPr>
              <w:t xml:space="preserve">§ 13. </w:t>
            </w:r>
            <w:r w:rsidRPr="00695123">
              <w:rPr>
                <w:rStyle w:val="Hyperlink"/>
                <w:rFonts w:ascii="Arial" w:hAnsi="Arial" w:cs="Arial"/>
                <w:noProof/>
                <w:color w:val="auto"/>
                <w:sz w:val="20"/>
              </w:rPr>
              <w:t>Planung und Beschaffung von Prüfmitteln</w:t>
            </w:r>
            <w:r w:rsidRPr="00695123">
              <w:rPr>
                <w:rFonts w:ascii="Arial" w:hAnsi="Arial" w:cs="Arial"/>
                <w:noProof/>
                <w:webHidden/>
                <w:sz w:val="20"/>
              </w:rPr>
              <w:tab/>
            </w:r>
            <w:r w:rsidR="00961CC6" w:rsidRPr="00695123">
              <w:rPr>
                <w:rFonts w:ascii="Arial" w:hAnsi="Arial" w:cs="Arial"/>
                <w:noProof/>
                <w:webHidden/>
                <w:sz w:val="20"/>
              </w:rPr>
              <w:t>13</w:t>
            </w:r>
          </w:hyperlink>
        </w:p>
        <w:p w14:paraId="059F87CA" w14:textId="1C1A0135" w:rsidR="00BC5B99" w:rsidRPr="00695123" w:rsidRDefault="00BC5B99" w:rsidP="00BC5B99">
          <w:pPr>
            <w:pStyle w:val="Verzeichnis1"/>
          </w:pPr>
          <w:hyperlink w:anchor="_Toc492643810" w:history="1">
            <w:r w:rsidRPr="00695123">
              <w:rPr>
                <w:rStyle w:val="Hyperlink"/>
                <w:rFonts w:ascii="Arial" w:hAnsi="Arial" w:cs="Arial"/>
                <w:noProof/>
                <w:color w:val="auto"/>
                <w:sz w:val="20"/>
                <w:lang w:val="en-US"/>
              </w:rPr>
              <w:t xml:space="preserve">§ 13. </w:t>
            </w:r>
            <w:r w:rsidRPr="00695123">
              <w:rPr>
                <w:rStyle w:val="Hyperlink"/>
                <w:rFonts w:ascii="Arial" w:hAnsi="Arial" w:cs="Arial"/>
                <w:noProof/>
                <w:color w:val="auto"/>
                <w:sz w:val="20"/>
              </w:rPr>
              <w:t>Planning and Procurement of Inspection Equipment</w:t>
            </w:r>
            <w:r w:rsidRPr="00695123">
              <w:rPr>
                <w:rFonts w:ascii="Arial" w:hAnsi="Arial" w:cs="Arial"/>
                <w:noProof/>
                <w:webHidden/>
                <w:sz w:val="20"/>
              </w:rPr>
              <w:tab/>
            </w:r>
            <w:r w:rsidR="00961CC6" w:rsidRPr="00695123">
              <w:rPr>
                <w:rFonts w:ascii="Arial" w:hAnsi="Arial" w:cs="Arial"/>
                <w:noProof/>
                <w:webHidden/>
                <w:sz w:val="20"/>
              </w:rPr>
              <w:t>13</w:t>
            </w:r>
          </w:hyperlink>
        </w:p>
        <w:p w14:paraId="708CF259" w14:textId="019E0583" w:rsidR="00240E76" w:rsidRPr="00695123" w:rsidRDefault="00240E76" w:rsidP="00240E76">
          <w:pPr>
            <w:pStyle w:val="Verzeichnis1"/>
          </w:pPr>
          <w:hyperlink w:anchor="_Toc492643810" w:history="1">
            <w:r w:rsidRPr="00695123">
              <w:rPr>
                <w:rStyle w:val="Hyperlink"/>
                <w:rFonts w:ascii="Arial" w:hAnsi="Arial" w:cs="Arial"/>
                <w:noProof/>
                <w:color w:val="auto"/>
                <w:sz w:val="20"/>
                <w:lang w:val="en-US"/>
              </w:rPr>
              <w:t xml:space="preserve">§ 14. </w:t>
            </w:r>
            <w:r w:rsidRPr="00695123">
              <w:rPr>
                <w:rStyle w:val="Hyperlink"/>
                <w:rFonts w:ascii="Arial" w:hAnsi="Arial" w:cs="Arial"/>
                <w:noProof/>
                <w:color w:val="auto"/>
                <w:sz w:val="20"/>
              </w:rPr>
              <w:t>Fähigkeiten</w:t>
            </w:r>
            <w:r w:rsidRPr="00695123">
              <w:rPr>
                <w:rFonts w:ascii="Arial" w:hAnsi="Arial" w:cs="Arial"/>
                <w:noProof/>
                <w:webHidden/>
                <w:sz w:val="20"/>
              </w:rPr>
              <w:tab/>
              <w:t>14</w:t>
            </w:r>
          </w:hyperlink>
        </w:p>
        <w:p w14:paraId="767EB998" w14:textId="1D4C2D66" w:rsidR="00240E76" w:rsidRPr="00695123" w:rsidRDefault="00240E76" w:rsidP="00240E76">
          <w:pPr>
            <w:pStyle w:val="Verzeichnis1"/>
          </w:pPr>
          <w:hyperlink w:anchor="_Toc492643810" w:history="1">
            <w:r w:rsidRPr="00695123">
              <w:rPr>
                <w:rStyle w:val="Hyperlink"/>
                <w:rFonts w:ascii="Arial" w:hAnsi="Arial" w:cs="Arial"/>
                <w:noProof/>
                <w:color w:val="auto"/>
                <w:sz w:val="20"/>
                <w:lang w:val="en-US"/>
              </w:rPr>
              <w:t xml:space="preserve">§ 14. </w:t>
            </w:r>
            <w:r w:rsidRPr="00695123">
              <w:rPr>
                <w:rStyle w:val="Hyperlink"/>
                <w:rFonts w:ascii="Arial" w:hAnsi="Arial" w:cs="Arial"/>
                <w:noProof/>
                <w:color w:val="auto"/>
                <w:sz w:val="20"/>
              </w:rPr>
              <w:t>Capability studies</w:t>
            </w:r>
            <w:r w:rsidRPr="00695123">
              <w:rPr>
                <w:rFonts w:ascii="Arial" w:hAnsi="Arial" w:cs="Arial"/>
                <w:noProof/>
                <w:webHidden/>
                <w:sz w:val="20"/>
              </w:rPr>
              <w:tab/>
              <w:t>14</w:t>
            </w:r>
          </w:hyperlink>
        </w:p>
        <w:p w14:paraId="7BC0A25F" w14:textId="5B82B863" w:rsidR="00240E76" w:rsidRPr="00695123" w:rsidRDefault="00240E76" w:rsidP="00240E76">
          <w:pPr>
            <w:pStyle w:val="Verzeichnis1"/>
          </w:pPr>
          <w:hyperlink w:anchor="_Toc492643810" w:history="1">
            <w:r w:rsidRPr="00695123">
              <w:rPr>
                <w:rStyle w:val="Hyperlink"/>
                <w:rFonts w:ascii="Arial" w:hAnsi="Arial" w:cs="Arial"/>
                <w:noProof/>
                <w:color w:val="auto"/>
                <w:sz w:val="20"/>
                <w:lang w:val="en-US"/>
              </w:rPr>
              <w:t>§ 15. Besondere Merkmale</w:t>
            </w:r>
            <w:r w:rsidRPr="00695123">
              <w:rPr>
                <w:rFonts w:ascii="Arial" w:hAnsi="Arial" w:cs="Arial"/>
                <w:noProof/>
                <w:webHidden/>
                <w:sz w:val="20"/>
              </w:rPr>
              <w:tab/>
              <w:t>1</w:t>
            </w:r>
            <w:r w:rsidR="003E5E66" w:rsidRPr="00695123">
              <w:rPr>
                <w:rFonts w:ascii="Arial" w:hAnsi="Arial" w:cs="Arial"/>
                <w:noProof/>
                <w:webHidden/>
                <w:sz w:val="20"/>
              </w:rPr>
              <w:t>5</w:t>
            </w:r>
          </w:hyperlink>
        </w:p>
        <w:p w14:paraId="36C9B1F8" w14:textId="3685FACA" w:rsidR="00240E76" w:rsidRPr="00695123" w:rsidRDefault="00240E76" w:rsidP="00240E76">
          <w:pPr>
            <w:pStyle w:val="Verzeichnis1"/>
          </w:pPr>
          <w:hyperlink w:anchor="_Toc492643810" w:history="1">
            <w:r w:rsidRPr="00695123">
              <w:rPr>
                <w:rStyle w:val="Hyperlink"/>
                <w:rFonts w:ascii="Arial" w:hAnsi="Arial" w:cs="Arial"/>
                <w:noProof/>
                <w:color w:val="auto"/>
                <w:sz w:val="20"/>
                <w:lang w:val="en-US"/>
              </w:rPr>
              <w:t xml:space="preserve">§ 15. </w:t>
            </w:r>
            <w:r w:rsidRPr="00695123">
              <w:rPr>
                <w:rStyle w:val="Hyperlink"/>
                <w:rFonts w:ascii="Arial" w:hAnsi="Arial" w:cs="Arial"/>
                <w:noProof/>
                <w:color w:val="auto"/>
                <w:sz w:val="20"/>
              </w:rPr>
              <w:t>Special Characteristics</w:t>
            </w:r>
            <w:r w:rsidRPr="00695123">
              <w:rPr>
                <w:rFonts w:ascii="Arial" w:hAnsi="Arial" w:cs="Arial"/>
                <w:noProof/>
                <w:webHidden/>
                <w:sz w:val="20"/>
              </w:rPr>
              <w:tab/>
              <w:t>1</w:t>
            </w:r>
            <w:r w:rsidR="003E5E66" w:rsidRPr="00695123">
              <w:rPr>
                <w:rFonts w:ascii="Arial" w:hAnsi="Arial" w:cs="Arial"/>
                <w:noProof/>
                <w:webHidden/>
                <w:sz w:val="20"/>
              </w:rPr>
              <w:t>5</w:t>
            </w:r>
          </w:hyperlink>
        </w:p>
        <w:p w14:paraId="56A400D2" w14:textId="5CC50AAF" w:rsidR="00D7434E" w:rsidRPr="00695123" w:rsidRDefault="00D7434E">
          <w:pPr>
            <w:pStyle w:val="Verzeichnis1"/>
            <w:rPr>
              <w:rFonts w:ascii="Arial" w:eastAsiaTheme="minorEastAsia" w:hAnsi="Arial" w:cs="Arial"/>
              <w:noProof/>
              <w:sz w:val="20"/>
            </w:rPr>
          </w:pPr>
          <w:hyperlink w:anchor="_Toc492643821" w:history="1">
            <w:r w:rsidRPr="00695123">
              <w:rPr>
                <w:rStyle w:val="Hyperlink"/>
                <w:rFonts w:ascii="Arial" w:hAnsi="Arial" w:cs="Arial"/>
                <w:noProof/>
                <w:color w:val="auto"/>
                <w:sz w:val="20"/>
              </w:rPr>
              <w:t>§ 1</w:t>
            </w:r>
            <w:r w:rsidR="00E73A58" w:rsidRPr="00695123">
              <w:rPr>
                <w:rStyle w:val="Hyperlink"/>
                <w:rFonts w:ascii="Arial" w:hAnsi="Arial" w:cs="Arial"/>
                <w:noProof/>
                <w:color w:val="auto"/>
                <w:sz w:val="20"/>
              </w:rPr>
              <w:t>6</w:t>
            </w:r>
            <w:r w:rsidRPr="00695123">
              <w:rPr>
                <w:rStyle w:val="Hyperlink"/>
                <w:rFonts w:ascii="Arial" w:hAnsi="Arial" w:cs="Arial"/>
                <w:noProof/>
                <w:color w:val="auto"/>
                <w:sz w:val="20"/>
              </w:rPr>
              <w:t>. Requalifikation</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_Toc492643821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16</w:t>
            </w:r>
            <w:r w:rsidRPr="00695123">
              <w:rPr>
                <w:rFonts w:ascii="Arial" w:hAnsi="Arial" w:cs="Arial"/>
                <w:noProof/>
                <w:webHidden/>
                <w:sz w:val="20"/>
              </w:rPr>
              <w:fldChar w:fldCharType="end"/>
            </w:r>
          </w:hyperlink>
        </w:p>
        <w:p w14:paraId="6CC0666E" w14:textId="097F7D76" w:rsidR="00D7434E" w:rsidRPr="00695123" w:rsidRDefault="00D7434E">
          <w:pPr>
            <w:pStyle w:val="Verzeichnis1"/>
            <w:rPr>
              <w:rFonts w:ascii="Arial" w:eastAsiaTheme="minorEastAsia" w:hAnsi="Arial" w:cs="Arial"/>
              <w:noProof/>
              <w:sz w:val="20"/>
            </w:rPr>
          </w:pPr>
          <w:hyperlink w:anchor="_Toc492643822" w:history="1">
            <w:r w:rsidRPr="00695123">
              <w:rPr>
                <w:rStyle w:val="Hyperlink"/>
                <w:rFonts w:ascii="Arial" w:hAnsi="Arial" w:cs="Arial"/>
                <w:noProof/>
                <w:color w:val="auto"/>
                <w:sz w:val="20"/>
                <w:lang w:val="en-US"/>
              </w:rPr>
              <w:t>§ 1</w:t>
            </w:r>
            <w:r w:rsidR="00E73A58" w:rsidRPr="00695123">
              <w:rPr>
                <w:rStyle w:val="Hyperlink"/>
                <w:rFonts w:ascii="Arial" w:hAnsi="Arial" w:cs="Arial"/>
                <w:noProof/>
                <w:color w:val="auto"/>
                <w:sz w:val="20"/>
                <w:lang w:val="en-US"/>
              </w:rPr>
              <w:t>6</w:t>
            </w:r>
            <w:r w:rsidRPr="00695123">
              <w:rPr>
                <w:rStyle w:val="Hyperlink"/>
                <w:rFonts w:ascii="Arial" w:hAnsi="Arial" w:cs="Arial"/>
                <w:noProof/>
                <w:color w:val="auto"/>
                <w:sz w:val="20"/>
                <w:lang w:val="en-US"/>
              </w:rPr>
              <w:t>. Requalification</w:t>
            </w:r>
            <w:r w:rsidRPr="00695123">
              <w:rPr>
                <w:rFonts w:ascii="Arial" w:hAnsi="Arial" w:cs="Arial"/>
                <w:noProof/>
                <w:webHidden/>
                <w:sz w:val="20"/>
              </w:rPr>
              <w:tab/>
            </w:r>
            <w:r w:rsidRPr="00695123">
              <w:rPr>
                <w:rFonts w:ascii="Arial" w:hAnsi="Arial" w:cs="Arial"/>
                <w:noProof/>
                <w:webHidden/>
                <w:sz w:val="20"/>
              </w:rPr>
              <w:fldChar w:fldCharType="begin"/>
            </w:r>
            <w:r w:rsidRPr="00695123">
              <w:rPr>
                <w:rFonts w:ascii="Arial" w:hAnsi="Arial" w:cs="Arial"/>
                <w:noProof/>
                <w:webHidden/>
                <w:sz w:val="20"/>
              </w:rPr>
              <w:instrText xml:space="preserve"> PAGEREF _Toc492643822 \h </w:instrText>
            </w:r>
            <w:r w:rsidRPr="00695123">
              <w:rPr>
                <w:rFonts w:ascii="Arial" w:hAnsi="Arial" w:cs="Arial"/>
                <w:noProof/>
                <w:webHidden/>
                <w:sz w:val="20"/>
              </w:rPr>
            </w:r>
            <w:r w:rsidRPr="00695123">
              <w:rPr>
                <w:rFonts w:ascii="Arial" w:hAnsi="Arial" w:cs="Arial"/>
                <w:noProof/>
                <w:webHidden/>
                <w:sz w:val="20"/>
              </w:rPr>
              <w:fldChar w:fldCharType="separate"/>
            </w:r>
            <w:r w:rsidR="00174CF9" w:rsidRPr="00695123">
              <w:rPr>
                <w:rFonts w:ascii="Arial" w:hAnsi="Arial" w:cs="Arial"/>
                <w:noProof/>
                <w:webHidden/>
                <w:sz w:val="20"/>
              </w:rPr>
              <w:t>16</w:t>
            </w:r>
            <w:r w:rsidRPr="00695123">
              <w:rPr>
                <w:rFonts w:ascii="Arial" w:hAnsi="Arial" w:cs="Arial"/>
                <w:noProof/>
                <w:webHidden/>
                <w:sz w:val="20"/>
              </w:rPr>
              <w:fldChar w:fldCharType="end"/>
            </w:r>
          </w:hyperlink>
        </w:p>
        <w:p w14:paraId="2C268A9D" w14:textId="562C2F84" w:rsidR="00D7434E" w:rsidRPr="00695123" w:rsidRDefault="00D7434E">
          <w:pPr>
            <w:pStyle w:val="Verzeichnis1"/>
            <w:rPr>
              <w:rFonts w:ascii="Arial" w:eastAsiaTheme="minorEastAsia" w:hAnsi="Arial" w:cs="Arial"/>
              <w:noProof/>
              <w:sz w:val="20"/>
            </w:rPr>
          </w:pPr>
          <w:hyperlink w:anchor="_Toc492643823" w:history="1">
            <w:r w:rsidRPr="00695123">
              <w:rPr>
                <w:rStyle w:val="Hyperlink"/>
                <w:rFonts w:ascii="Arial" w:hAnsi="Arial" w:cs="Arial"/>
                <w:noProof/>
                <w:color w:val="auto"/>
                <w:sz w:val="20"/>
              </w:rPr>
              <w:t>§ 1</w:t>
            </w:r>
            <w:r w:rsidR="004B1745" w:rsidRPr="00695123">
              <w:rPr>
                <w:rStyle w:val="Hyperlink"/>
                <w:rFonts w:ascii="Arial" w:hAnsi="Arial" w:cs="Arial"/>
                <w:noProof/>
                <w:color w:val="auto"/>
                <w:sz w:val="20"/>
              </w:rPr>
              <w:t>7</w:t>
            </w:r>
            <w:r w:rsidRPr="00695123">
              <w:rPr>
                <w:rStyle w:val="Hyperlink"/>
                <w:rFonts w:ascii="Arial" w:hAnsi="Arial" w:cs="Arial"/>
                <w:noProof/>
                <w:color w:val="auto"/>
                <w:sz w:val="20"/>
              </w:rPr>
              <w:t>. Dokumentation und Aufbewahrungsfristen</w:t>
            </w:r>
            <w:r w:rsidRPr="00695123">
              <w:rPr>
                <w:rFonts w:ascii="Arial" w:hAnsi="Arial" w:cs="Arial"/>
                <w:noProof/>
                <w:webHidden/>
                <w:sz w:val="20"/>
              </w:rPr>
              <w:tab/>
            </w:r>
            <w:r w:rsidR="00961CC6" w:rsidRPr="00695123">
              <w:rPr>
                <w:rFonts w:ascii="Arial" w:hAnsi="Arial" w:cs="Arial"/>
                <w:noProof/>
                <w:webHidden/>
                <w:sz w:val="20"/>
              </w:rPr>
              <w:t>16</w:t>
            </w:r>
          </w:hyperlink>
        </w:p>
        <w:p w14:paraId="5DA07E3A" w14:textId="4A04915B" w:rsidR="00D7434E" w:rsidRPr="00695123" w:rsidRDefault="00D7434E">
          <w:pPr>
            <w:pStyle w:val="Verzeichnis1"/>
            <w:rPr>
              <w:rFonts w:ascii="Arial" w:eastAsiaTheme="minorEastAsia" w:hAnsi="Arial" w:cs="Arial"/>
              <w:noProof/>
              <w:sz w:val="20"/>
            </w:rPr>
          </w:pPr>
          <w:hyperlink w:anchor="_Toc492643824" w:history="1">
            <w:r w:rsidRPr="00695123">
              <w:rPr>
                <w:rStyle w:val="Hyperlink"/>
                <w:rFonts w:ascii="Arial" w:hAnsi="Arial" w:cs="Arial"/>
                <w:noProof/>
                <w:color w:val="auto"/>
                <w:sz w:val="20"/>
                <w:lang w:val="en-US"/>
              </w:rPr>
              <w:t>§ 1</w:t>
            </w:r>
            <w:r w:rsidR="004B1745" w:rsidRPr="00695123">
              <w:rPr>
                <w:rStyle w:val="Hyperlink"/>
                <w:rFonts w:ascii="Arial" w:hAnsi="Arial" w:cs="Arial"/>
                <w:noProof/>
                <w:color w:val="auto"/>
                <w:sz w:val="20"/>
                <w:lang w:val="en-US"/>
              </w:rPr>
              <w:t>7</w:t>
            </w:r>
            <w:r w:rsidRPr="00695123">
              <w:rPr>
                <w:rStyle w:val="Hyperlink"/>
                <w:rFonts w:ascii="Arial" w:hAnsi="Arial" w:cs="Arial"/>
                <w:noProof/>
                <w:color w:val="auto"/>
                <w:sz w:val="20"/>
                <w:lang w:val="en-US"/>
              </w:rPr>
              <w:t>. Documentation and storage periods</w:t>
            </w:r>
            <w:r w:rsidRPr="00695123">
              <w:rPr>
                <w:rFonts w:ascii="Arial" w:hAnsi="Arial" w:cs="Arial"/>
                <w:noProof/>
                <w:webHidden/>
                <w:sz w:val="20"/>
              </w:rPr>
              <w:tab/>
            </w:r>
            <w:r w:rsidR="00961CC6" w:rsidRPr="00695123">
              <w:rPr>
                <w:rFonts w:ascii="Arial" w:hAnsi="Arial" w:cs="Arial"/>
                <w:noProof/>
                <w:webHidden/>
                <w:sz w:val="20"/>
              </w:rPr>
              <w:t>16</w:t>
            </w:r>
          </w:hyperlink>
        </w:p>
        <w:p w14:paraId="71176510" w14:textId="5852CD4F" w:rsidR="00D7434E" w:rsidRPr="00695123" w:rsidRDefault="00D7434E">
          <w:pPr>
            <w:pStyle w:val="Verzeichnis1"/>
            <w:rPr>
              <w:rFonts w:ascii="Arial" w:eastAsiaTheme="minorEastAsia" w:hAnsi="Arial" w:cs="Arial"/>
              <w:noProof/>
              <w:sz w:val="20"/>
            </w:rPr>
          </w:pPr>
          <w:hyperlink w:anchor="_Toc492643825" w:history="1">
            <w:r w:rsidRPr="00695123">
              <w:rPr>
                <w:rStyle w:val="Hyperlink"/>
                <w:rFonts w:ascii="Arial" w:hAnsi="Arial" w:cs="Arial"/>
                <w:noProof/>
                <w:color w:val="auto"/>
                <w:sz w:val="20"/>
              </w:rPr>
              <w:t>§ 1</w:t>
            </w:r>
            <w:r w:rsidR="00C80337" w:rsidRPr="00695123">
              <w:rPr>
                <w:rStyle w:val="Hyperlink"/>
                <w:rFonts w:ascii="Arial" w:hAnsi="Arial" w:cs="Arial"/>
                <w:noProof/>
                <w:color w:val="auto"/>
                <w:sz w:val="20"/>
              </w:rPr>
              <w:t>8</w:t>
            </w:r>
            <w:r w:rsidRPr="00695123">
              <w:rPr>
                <w:rStyle w:val="Hyperlink"/>
                <w:rFonts w:ascii="Arial" w:hAnsi="Arial" w:cs="Arial"/>
                <w:noProof/>
                <w:color w:val="auto"/>
                <w:sz w:val="20"/>
              </w:rPr>
              <w:t>. Null-Fehler-Strategie</w:t>
            </w:r>
            <w:r w:rsidRPr="00695123">
              <w:rPr>
                <w:rFonts w:ascii="Arial" w:hAnsi="Arial" w:cs="Arial"/>
                <w:noProof/>
                <w:webHidden/>
                <w:sz w:val="20"/>
              </w:rPr>
              <w:tab/>
            </w:r>
            <w:r w:rsidR="00961CC6" w:rsidRPr="00695123">
              <w:rPr>
                <w:rFonts w:ascii="Arial" w:hAnsi="Arial" w:cs="Arial"/>
                <w:noProof/>
                <w:webHidden/>
                <w:sz w:val="20"/>
              </w:rPr>
              <w:t>17</w:t>
            </w:r>
          </w:hyperlink>
        </w:p>
        <w:p w14:paraId="298D0988" w14:textId="5CB407A3" w:rsidR="00D7434E" w:rsidRPr="00695123" w:rsidRDefault="00D7434E">
          <w:pPr>
            <w:pStyle w:val="Verzeichnis1"/>
            <w:rPr>
              <w:rFonts w:ascii="Arial" w:eastAsiaTheme="minorEastAsia" w:hAnsi="Arial" w:cs="Arial"/>
              <w:noProof/>
              <w:sz w:val="20"/>
            </w:rPr>
          </w:pPr>
          <w:hyperlink w:anchor="_Toc492643826" w:history="1">
            <w:r w:rsidRPr="00695123">
              <w:rPr>
                <w:rStyle w:val="Hyperlink"/>
                <w:rFonts w:ascii="Arial" w:hAnsi="Arial" w:cs="Arial"/>
                <w:noProof/>
                <w:color w:val="auto"/>
                <w:sz w:val="20"/>
                <w:lang w:val="en-US"/>
              </w:rPr>
              <w:t>§ 1</w:t>
            </w:r>
            <w:r w:rsidR="00C80337" w:rsidRPr="00695123">
              <w:rPr>
                <w:rStyle w:val="Hyperlink"/>
                <w:rFonts w:ascii="Arial" w:hAnsi="Arial" w:cs="Arial"/>
                <w:noProof/>
                <w:color w:val="auto"/>
                <w:sz w:val="20"/>
                <w:lang w:val="en-US"/>
              </w:rPr>
              <w:t>8</w:t>
            </w:r>
            <w:r w:rsidRPr="00695123">
              <w:rPr>
                <w:rStyle w:val="Hyperlink"/>
                <w:rFonts w:ascii="Arial" w:hAnsi="Arial" w:cs="Arial"/>
                <w:noProof/>
                <w:color w:val="auto"/>
                <w:sz w:val="20"/>
                <w:lang w:val="en-US"/>
              </w:rPr>
              <w:t>. Zero defect strategy</w:t>
            </w:r>
            <w:r w:rsidRPr="00695123">
              <w:rPr>
                <w:rFonts w:ascii="Arial" w:hAnsi="Arial" w:cs="Arial"/>
                <w:noProof/>
                <w:webHidden/>
                <w:sz w:val="20"/>
              </w:rPr>
              <w:tab/>
            </w:r>
            <w:r w:rsidR="00961CC6" w:rsidRPr="00695123">
              <w:rPr>
                <w:rFonts w:ascii="Arial" w:hAnsi="Arial" w:cs="Arial"/>
                <w:noProof/>
                <w:webHidden/>
                <w:sz w:val="20"/>
              </w:rPr>
              <w:t>17</w:t>
            </w:r>
          </w:hyperlink>
        </w:p>
        <w:p w14:paraId="22B35D7B" w14:textId="111F32BD" w:rsidR="00D7434E" w:rsidRPr="00695123" w:rsidRDefault="00D7434E">
          <w:pPr>
            <w:pStyle w:val="Verzeichnis1"/>
            <w:rPr>
              <w:rFonts w:ascii="Arial" w:eastAsiaTheme="minorEastAsia" w:hAnsi="Arial" w:cs="Arial"/>
              <w:noProof/>
              <w:sz w:val="20"/>
            </w:rPr>
          </w:pPr>
          <w:hyperlink w:anchor="_Toc492643827" w:history="1">
            <w:r w:rsidRPr="00695123">
              <w:rPr>
                <w:rStyle w:val="Hyperlink"/>
                <w:rFonts w:ascii="Arial" w:hAnsi="Arial" w:cs="Arial"/>
                <w:noProof/>
                <w:color w:val="auto"/>
                <w:sz w:val="20"/>
              </w:rPr>
              <w:t>§ 1</w:t>
            </w:r>
            <w:r w:rsidR="00C80337" w:rsidRPr="00695123">
              <w:rPr>
                <w:rStyle w:val="Hyperlink"/>
                <w:rFonts w:ascii="Arial" w:hAnsi="Arial" w:cs="Arial"/>
                <w:noProof/>
                <w:color w:val="auto"/>
                <w:sz w:val="20"/>
              </w:rPr>
              <w:t>9</w:t>
            </w:r>
            <w:r w:rsidRPr="00695123">
              <w:rPr>
                <w:rStyle w:val="Hyperlink"/>
                <w:rFonts w:ascii="Arial" w:hAnsi="Arial" w:cs="Arial"/>
                <w:noProof/>
                <w:color w:val="auto"/>
                <w:sz w:val="20"/>
              </w:rPr>
              <w:t>. Reklamationsmanagement</w:t>
            </w:r>
            <w:r w:rsidRPr="00695123">
              <w:rPr>
                <w:rFonts w:ascii="Arial" w:hAnsi="Arial" w:cs="Arial"/>
                <w:noProof/>
                <w:webHidden/>
                <w:sz w:val="20"/>
              </w:rPr>
              <w:tab/>
            </w:r>
            <w:r w:rsidR="00961CC6" w:rsidRPr="00695123">
              <w:rPr>
                <w:rFonts w:ascii="Arial" w:hAnsi="Arial" w:cs="Arial"/>
                <w:noProof/>
                <w:webHidden/>
                <w:sz w:val="20"/>
              </w:rPr>
              <w:t>18</w:t>
            </w:r>
          </w:hyperlink>
        </w:p>
        <w:p w14:paraId="5615FE91" w14:textId="031923C2" w:rsidR="00D7434E" w:rsidRPr="00695123" w:rsidRDefault="00D7434E">
          <w:pPr>
            <w:pStyle w:val="Verzeichnis1"/>
            <w:rPr>
              <w:rFonts w:ascii="Arial" w:eastAsiaTheme="minorEastAsia" w:hAnsi="Arial" w:cs="Arial"/>
              <w:noProof/>
              <w:sz w:val="20"/>
            </w:rPr>
          </w:pPr>
          <w:hyperlink w:anchor="_Toc492643828" w:history="1">
            <w:r w:rsidRPr="00695123">
              <w:rPr>
                <w:rStyle w:val="Hyperlink"/>
                <w:rFonts w:ascii="Arial" w:hAnsi="Arial" w:cs="Arial"/>
                <w:noProof/>
                <w:color w:val="auto"/>
                <w:sz w:val="20"/>
                <w:lang w:val="en-US"/>
              </w:rPr>
              <w:t>§ 1</w:t>
            </w:r>
            <w:r w:rsidR="00C80337" w:rsidRPr="00695123">
              <w:rPr>
                <w:rStyle w:val="Hyperlink"/>
                <w:rFonts w:ascii="Arial" w:hAnsi="Arial" w:cs="Arial"/>
                <w:noProof/>
                <w:color w:val="auto"/>
                <w:sz w:val="20"/>
                <w:lang w:val="en-US"/>
              </w:rPr>
              <w:t>9</w:t>
            </w:r>
            <w:r w:rsidRPr="00695123">
              <w:rPr>
                <w:rStyle w:val="Hyperlink"/>
                <w:rFonts w:ascii="Arial" w:hAnsi="Arial" w:cs="Arial"/>
                <w:noProof/>
                <w:color w:val="auto"/>
                <w:sz w:val="20"/>
                <w:lang w:val="en-US"/>
              </w:rPr>
              <w:t>. Complaints management</w:t>
            </w:r>
            <w:r w:rsidRPr="00695123">
              <w:rPr>
                <w:rFonts w:ascii="Arial" w:hAnsi="Arial" w:cs="Arial"/>
                <w:noProof/>
                <w:webHidden/>
                <w:sz w:val="20"/>
              </w:rPr>
              <w:tab/>
            </w:r>
            <w:r w:rsidR="00961CC6" w:rsidRPr="00695123">
              <w:rPr>
                <w:rFonts w:ascii="Arial" w:hAnsi="Arial" w:cs="Arial"/>
                <w:noProof/>
                <w:webHidden/>
                <w:sz w:val="20"/>
              </w:rPr>
              <w:t>18</w:t>
            </w:r>
          </w:hyperlink>
        </w:p>
        <w:p w14:paraId="24D3D413" w14:textId="44631C72" w:rsidR="00D7434E" w:rsidRPr="00695123" w:rsidRDefault="00D7434E">
          <w:pPr>
            <w:pStyle w:val="Verzeichnis1"/>
            <w:rPr>
              <w:rFonts w:ascii="Arial" w:eastAsiaTheme="minorEastAsia" w:hAnsi="Arial" w:cs="Arial"/>
              <w:noProof/>
              <w:sz w:val="20"/>
            </w:rPr>
          </w:pPr>
          <w:hyperlink w:anchor="_Toc492643829" w:history="1">
            <w:r w:rsidRPr="00695123">
              <w:rPr>
                <w:rStyle w:val="Hyperlink"/>
                <w:rFonts w:ascii="Arial" w:hAnsi="Arial" w:cs="Arial"/>
                <w:noProof/>
                <w:color w:val="auto"/>
                <w:sz w:val="20"/>
              </w:rPr>
              <w:t xml:space="preserve">§ </w:t>
            </w:r>
            <w:r w:rsidR="00B5596C" w:rsidRPr="00695123">
              <w:rPr>
                <w:rStyle w:val="Hyperlink"/>
                <w:rFonts w:ascii="Arial" w:hAnsi="Arial" w:cs="Arial"/>
                <w:noProof/>
                <w:color w:val="auto"/>
                <w:sz w:val="20"/>
              </w:rPr>
              <w:t>20</w:t>
            </w:r>
            <w:r w:rsidRPr="00695123">
              <w:rPr>
                <w:rStyle w:val="Hyperlink"/>
                <w:rFonts w:ascii="Arial" w:hAnsi="Arial" w:cs="Arial"/>
                <w:noProof/>
                <w:color w:val="auto"/>
                <w:sz w:val="20"/>
              </w:rPr>
              <w:t>. Eskalationsstufen / Controlled Shipment Level</w:t>
            </w:r>
            <w:r w:rsidRPr="00695123">
              <w:rPr>
                <w:rFonts w:ascii="Arial" w:hAnsi="Arial" w:cs="Arial"/>
                <w:noProof/>
                <w:webHidden/>
                <w:sz w:val="20"/>
              </w:rPr>
              <w:tab/>
            </w:r>
            <w:r w:rsidR="00961CC6" w:rsidRPr="00695123">
              <w:rPr>
                <w:rFonts w:ascii="Arial" w:hAnsi="Arial" w:cs="Arial"/>
                <w:noProof/>
                <w:webHidden/>
                <w:sz w:val="20"/>
              </w:rPr>
              <w:t>20</w:t>
            </w:r>
          </w:hyperlink>
        </w:p>
        <w:p w14:paraId="6D7B96BF" w14:textId="35311B03" w:rsidR="00D7434E" w:rsidRPr="00695123" w:rsidRDefault="00D7434E">
          <w:pPr>
            <w:pStyle w:val="Verzeichnis1"/>
            <w:rPr>
              <w:rFonts w:ascii="Arial" w:eastAsiaTheme="minorEastAsia" w:hAnsi="Arial" w:cs="Arial"/>
              <w:noProof/>
              <w:sz w:val="20"/>
            </w:rPr>
          </w:pPr>
          <w:hyperlink w:anchor="_Toc492643830" w:history="1">
            <w:r w:rsidRPr="00695123">
              <w:rPr>
                <w:rStyle w:val="Hyperlink"/>
                <w:rFonts w:ascii="Arial" w:hAnsi="Arial" w:cs="Arial"/>
                <w:noProof/>
                <w:color w:val="auto"/>
                <w:sz w:val="20"/>
                <w:lang w:val="en-US"/>
              </w:rPr>
              <w:t xml:space="preserve">§ </w:t>
            </w:r>
            <w:r w:rsidR="00B5596C" w:rsidRPr="00695123">
              <w:rPr>
                <w:rStyle w:val="Hyperlink"/>
                <w:rFonts w:ascii="Arial" w:hAnsi="Arial" w:cs="Arial"/>
                <w:noProof/>
                <w:color w:val="auto"/>
                <w:sz w:val="20"/>
                <w:lang w:val="en-US"/>
              </w:rPr>
              <w:t>20</w:t>
            </w:r>
            <w:r w:rsidRPr="00695123">
              <w:rPr>
                <w:rStyle w:val="Hyperlink"/>
                <w:rFonts w:ascii="Arial" w:hAnsi="Arial" w:cs="Arial"/>
                <w:noProof/>
                <w:color w:val="auto"/>
                <w:sz w:val="20"/>
                <w:lang w:val="en-US"/>
              </w:rPr>
              <w:t>. Escalation levels / controlled shipment level</w:t>
            </w:r>
            <w:r w:rsidRPr="00695123">
              <w:rPr>
                <w:rFonts w:ascii="Arial" w:hAnsi="Arial" w:cs="Arial"/>
                <w:noProof/>
                <w:webHidden/>
                <w:sz w:val="20"/>
              </w:rPr>
              <w:tab/>
            </w:r>
            <w:r w:rsidR="00961CC6" w:rsidRPr="00695123">
              <w:rPr>
                <w:rFonts w:ascii="Arial" w:hAnsi="Arial" w:cs="Arial"/>
                <w:noProof/>
                <w:webHidden/>
                <w:sz w:val="20"/>
              </w:rPr>
              <w:t>20</w:t>
            </w:r>
          </w:hyperlink>
        </w:p>
        <w:p w14:paraId="3952FFEB" w14:textId="3E497B3D" w:rsidR="00D7434E" w:rsidRPr="00695123" w:rsidRDefault="00D7434E">
          <w:pPr>
            <w:pStyle w:val="Verzeichnis1"/>
            <w:rPr>
              <w:rFonts w:ascii="Arial" w:eastAsiaTheme="minorEastAsia" w:hAnsi="Arial" w:cs="Arial"/>
              <w:noProof/>
              <w:sz w:val="20"/>
            </w:rPr>
          </w:pPr>
          <w:hyperlink w:anchor="_Toc492643831" w:history="1">
            <w:r w:rsidRPr="00695123">
              <w:rPr>
                <w:rStyle w:val="Hyperlink"/>
                <w:rFonts w:ascii="Arial" w:hAnsi="Arial" w:cs="Arial"/>
                <w:noProof/>
                <w:color w:val="auto"/>
                <w:sz w:val="20"/>
              </w:rPr>
              <w:t xml:space="preserve">§ </w:t>
            </w:r>
            <w:r w:rsidR="00A321ED" w:rsidRPr="00695123">
              <w:rPr>
                <w:rStyle w:val="Hyperlink"/>
                <w:rFonts w:ascii="Arial" w:hAnsi="Arial" w:cs="Arial"/>
                <w:noProof/>
                <w:color w:val="auto"/>
                <w:sz w:val="20"/>
              </w:rPr>
              <w:t>21</w:t>
            </w:r>
            <w:r w:rsidRPr="00695123">
              <w:rPr>
                <w:rStyle w:val="Hyperlink"/>
                <w:rFonts w:ascii="Arial" w:hAnsi="Arial" w:cs="Arial"/>
                <w:noProof/>
                <w:color w:val="auto"/>
                <w:sz w:val="20"/>
              </w:rPr>
              <w:t>. Lieferantenbewertung</w:t>
            </w:r>
            <w:r w:rsidRPr="00695123">
              <w:rPr>
                <w:rFonts w:ascii="Arial" w:hAnsi="Arial" w:cs="Arial"/>
                <w:noProof/>
                <w:webHidden/>
                <w:sz w:val="20"/>
              </w:rPr>
              <w:tab/>
            </w:r>
            <w:r w:rsidR="00961CC6" w:rsidRPr="00695123">
              <w:rPr>
                <w:rFonts w:ascii="Arial" w:hAnsi="Arial" w:cs="Arial"/>
                <w:noProof/>
                <w:webHidden/>
                <w:sz w:val="20"/>
              </w:rPr>
              <w:t>21</w:t>
            </w:r>
          </w:hyperlink>
        </w:p>
        <w:p w14:paraId="4030AED1" w14:textId="5D518152" w:rsidR="00D7434E" w:rsidRPr="00695123" w:rsidRDefault="00D7434E">
          <w:pPr>
            <w:pStyle w:val="Verzeichnis1"/>
            <w:rPr>
              <w:rFonts w:ascii="Arial" w:eastAsiaTheme="minorEastAsia" w:hAnsi="Arial" w:cs="Arial"/>
              <w:noProof/>
              <w:sz w:val="20"/>
            </w:rPr>
          </w:pPr>
          <w:hyperlink w:anchor="_Toc492643832" w:history="1">
            <w:r w:rsidRPr="00695123">
              <w:rPr>
                <w:rStyle w:val="Hyperlink"/>
                <w:rFonts w:ascii="Arial" w:hAnsi="Arial" w:cs="Arial"/>
                <w:noProof/>
                <w:color w:val="auto"/>
                <w:sz w:val="20"/>
                <w:lang w:val="en-US"/>
              </w:rPr>
              <w:t xml:space="preserve">§ </w:t>
            </w:r>
            <w:r w:rsidR="00A321ED" w:rsidRPr="00695123">
              <w:rPr>
                <w:rStyle w:val="Hyperlink"/>
                <w:rFonts w:ascii="Arial" w:hAnsi="Arial" w:cs="Arial"/>
                <w:noProof/>
                <w:color w:val="auto"/>
                <w:sz w:val="20"/>
                <w:lang w:val="en-US"/>
              </w:rPr>
              <w:t>21</w:t>
            </w:r>
            <w:r w:rsidRPr="00695123">
              <w:rPr>
                <w:rStyle w:val="Hyperlink"/>
                <w:rFonts w:ascii="Arial" w:hAnsi="Arial" w:cs="Arial"/>
                <w:noProof/>
                <w:color w:val="auto"/>
                <w:sz w:val="20"/>
                <w:lang w:val="en-US"/>
              </w:rPr>
              <w:t>. Supplier assessment</w:t>
            </w:r>
            <w:r w:rsidRPr="00695123">
              <w:rPr>
                <w:rFonts w:ascii="Arial" w:hAnsi="Arial" w:cs="Arial"/>
                <w:noProof/>
                <w:webHidden/>
                <w:sz w:val="20"/>
              </w:rPr>
              <w:tab/>
            </w:r>
            <w:r w:rsidR="00961CC6" w:rsidRPr="00695123">
              <w:rPr>
                <w:rFonts w:ascii="Arial" w:hAnsi="Arial" w:cs="Arial"/>
                <w:noProof/>
                <w:webHidden/>
                <w:sz w:val="20"/>
              </w:rPr>
              <w:t>21</w:t>
            </w:r>
          </w:hyperlink>
        </w:p>
        <w:p w14:paraId="26AF569A" w14:textId="223AF884" w:rsidR="00D7434E" w:rsidRPr="00695123" w:rsidRDefault="00D7434E">
          <w:pPr>
            <w:pStyle w:val="Verzeichnis1"/>
            <w:rPr>
              <w:rFonts w:ascii="Arial" w:eastAsiaTheme="minorEastAsia" w:hAnsi="Arial" w:cs="Arial"/>
              <w:noProof/>
              <w:sz w:val="20"/>
            </w:rPr>
          </w:pPr>
          <w:hyperlink w:anchor="_Toc492643833" w:history="1">
            <w:r w:rsidRPr="00695123">
              <w:rPr>
                <w:rStyle w:val="Hyperlink"/>
                <w:rFonts w:ascii="Arial" w:hAnsi="Arial" w:cs="Arial"/>
                <w:noProof/>
                <w:color w:val="auto"/>
                <w:sz w:val="20"/>
              </w:rPr>
              <w:t xml:space="preserve">§ </w:t>
            </w:r>
            <w:r w:rsidR="00A321ED" w:rsidRPr="00695123">
              <w:rPr>
                <w:rStyle w:val="Hyperlink"/>
                <w:rFonts w:ascii="Arial" w:hAnsi="Arial" w:cs="Arial"/>
                <w:noProof/>
                <w:color w:val="auto"/>
                <w:sz w:val="20"/>
              </w:rPr>
              <w:t>22</w:t>
            </w:r>
            <w:r w:rsidRPr="00695123">
              <w:rPr>
                <w:rStyle w:val="Hyperlink"/>
                <w:rFonts w:ascii="Arial" w:hAnsi="Arial" w:cs="Arial"/>
                <w:noProof/>
                <w:color w:val="auto"/>
                <w:sz w:val="20"/>
              </w:rPr>
              <w:t>. Sicherheitsrelevante Bauteile</w:t>
            </w:r>
            <w:r w:rsidRPr="00695123">
              <w:rPr>
                <w:rFonts w:ascii="Arial" w:hAnsi="Arial" w:cs="Arial"/>
                <w:noProof/>
                <w:webHidden/>
                <w:sz w:val="20"/>
              </w:rPr>
              <w:tab/>
            </w:r>
            <w:r w:rsidR="00961CC6" w:rsidRPr="00695123">
              <w:rPr>
                <w:rFonts w:ascii="Arial" w:hAnsi="Arial" w:cs="Arial"/>
                <w:noProof/>
                <w:webHidden/>
                <w:sz w:val="20"/>
              </w:rPr>
              <w:t>21</w:t>
            </w:r>
          </w:hyperlink>
        </w:p>
        <w:p w14:paraId="2F9A2125" w14:textId="3276284B" w:rsidR="00D7434E" w:rsidRPr="00695123" w:rsidRDefault="00D7434E">
          <w:pPr>
            <w:pStyle w:val="Verzeichnis1"/>
            <w:rPr>
              <w:rFonts w:ascii="Arial" w:eastAsiaTheme="minorEastAsia" w:hAnsi="Arial" w:cs="Arial"/>
              <w:noProof/>
              <w:sz w:val="20"/>
            </w:rPr>
          </w:pPr>
          <w:hyperlink w:anchor="_Toc492643834" w:history="1">
            <w:r w:rsidRPr="00695123">
              <w:rPr>
                <w:rStyle w:val="Hyperlink"/>
                <w:rFonts w:ascii="Arial" w:hAnsi="Arial" w:cs="Arial"/>
                <w:noProof/>
                <w:color w:val="auto"/>
                <w:sz w:val="20"/>
                <w:lang w:val="en-US"/>
              </w:rPr>
              <w:t xml:space="preserve">§ </w:t>
            </w:r>
            <w:r w:rsidR="00A321ED" w:rsidRPr="00695123">
              <w:rPr>
                <w:rStyle w:val="Hyperlink"/>
                <w:rFonts w:ascii="Arial" w:hAnsi="Arial" w:cs="Arial"/>
                <w:noProof/>
                <w:color w:val="auto"/>
                <w:sz w:val="20"/>
                <w:lang w:val="en-US"/>
              </w:rPr>
              <w:t>22</w:t>
            </w:r>
            <w:r w:rsidRPr="00695123">
              <w:rPr>
                <w:rStyle w:val="Hyperlink"/>
                <w:rFonts w:ascii="Arial" w:hAnsi="Arial" w:cs="Arial"/>
                <w:noProof/>
                <w:color w:val="auto"/>
                <w:sz w:val="20"/>
                <w:lang w:val="en-US"/>
              </w:rPr>
              <w:t>. Safety-relevant components</w:t>
            </w:r>
            <w:r w:rsidRPr="00695123">
              <w:rPr>
                <w:rFonts w:ascii="Arial" w:hAnsi="Arial" w:cs="Arial"/>
                <w:noProof/>
                <w:webHidden/>
                <w:sz w:val="20"/>
              </w:rPr>
              <w:tab/>
            </w:r>
            <w:r w:rsidR="00961CC6" w:rsidRPr="00695123">
              <w:rPr>
                <w:rFonts w:ascii="Arial" w:hAnsi="Arial" w:cs="Arial"/>
                <w:noProof/>
                <w:webHidden/>
                <w:sz w:val="20"/>
              </w:rPr>
              <w:t>21</w:t>
            </w:r>
          </w:hyperlink>
        </w:p>
        <w:p w14:paraId="46F6620E" w14:textId="7D730279" w:rsidR="00D7434E" w:rsidRPr="00695123" w:rsidRDefault="00D7434E">
          <w:pPr>
            <w:pStyle w:val="Verzeichnis1"/>
            <w:rPr>
              <w:rFonts w:ascii="Arial" w:eastAsiaTheme="minorEastAsia" w:hAnsi="Arial" w:cs="Arial"/>
              <w:noProof/>
              <w:sz w:val="20"/>
            </w:rPr>
          </w:pPr>
          <w:hyperlink w:anchor="_Toc492643835" w:history="1">
            <w:r w:rsidRPr="00695123">
              <w:rPr>
                <w:rStyle w:val="Hyperlink"/>
                <w:rFonts w:ascii="Arial" w:hAnsi="Arial" w:cs="Arial"/>
                <w:noProof/>
                <w:color w:val="auto"/>
                <w:sz w:val="20"/>
              </w:rPr>
              <w:t xml:space="preserve">§ </w:t>
            </w:r>
            <w:r w:rsidR="00A321ED" w:rsidRPr="00695123">
              <w:rPr>
                <w:rStyle w:val="Hyperlink"/>
                <w:rFonts w:ascii="Arial" w:hAnsi="Arial" w:cs="Arial"/>
                <w:noProof/>
                <w:color w:val="auto"/>
                <w:sz w:val="20"/>
              </w:rPr>
              <w:t>23</w:t>
            </w:r>
            <w:r w:rsidRPr="00695123">
              <w:rPr>
                <w:rStyle w:val="Hyperlink"/>
                <w:rFonts w:ascii="Arial" w:hAnsi="Arial" w:cs="Arial"/>
                <w:noProof/>
                <w:color w:val="auto"/>
                <w:sz w:val="20"/>
              </w:rPr>
              <w:t>. Audits</w:t>
            </w:r>
            <w:r w:rsidRPr="00695123">
              <w:rPr>
                <w:rFonts w:ascii="Arial" w:hAnsi="Arial" w:cs="Arial"/>
                <w:noProof/>
                <w:webHidden/>
                <w:sz w:val="20"/>
              </w:rPr>
              <w:tab/>
            </w:r>
            <w:r w:rsidR="00961CC6" w:rsidRPr="00695123">
              <w:rPr>
                <w:rFonts w:ascii="Arial" w:hAnsi="Arial" w:cs="Arial"/>
                <w:noProof/>
                <w:webHidden/>
                <w:sz w:val="20"/>
              </w:rPr>
              <w:t>21</w:t>
            </w:r>
          </w:hyperlink>
        </w:p>
        <w:p w14:paraId="751C9637" w14:textId="328A5C5B" w:rsidR="00D7434E" w:rsidRPr="00695123" w:rsidRDefault="00D7434E">
          <w:pPr>
            <w:pStyle w:val="Verzeichnis1"/>
            <w:rPr>
              <w:rFonts w:ascii="Arial" w:eastAsiaTheme="minorEastAsia" w:hAnsi="Arial" w:cs="Arial"/>
              <w:noProof/>
              <w:sz w:val="20"/>
            </w:rPr>
          </w:pPr>
          <w:hyperlink w:anchor="_Toc492643836" w:history="1">
            <w:r w:rsidRPr="00695123">
              <w:rPr>
                <w:rStyle w:val="Hyperlink"/>
                <w:rFonts w:ascii="Arial" w:hAnsi="Arial" w:cs="Arial"/>
                <w:noProof/>
                <w:color w:val="auto"/>
                <w:sz w:val="20"/>
                <w:lang w:val="en-US"/>
              </w:rPr>
              <w:t xml:space="preserve">§ </w:t>
            </w:r>
            <w:r w:rsidR="00A321ED" w:rsidRPr="00695123">
              <w:rPr>
                <w:rStyle w:val="Hyperlink"/>
                <w:rFonts w:ascii="Arial" w:hAnsi="Arial" w:cs="Arial"/>
                <w:noProof/>
                <w:color w:val="auto"/>
                <w:sz w:val="20"/>
                <w:lang w:val="en-US"/>
              </w:rPr>
              <w:t>23</w:t>
            </w:r>
            <w:r w:rsidRPr="00695123">
              <w:rPr>
                <w:rStyle w:val="Hyperlink"/>
                <w:rFonts w:ascii="Arial" w:hAnsi="Arial" w:cs="Arial"/>
                <w:noProof/>
                <w:color w:val="auto"/>
                <w:sz w:val="20"/>
                <w:lang w:val="en-US"/>
              </w:rPr>
              <w:t>. Audits</w:t>
            </w:r>
            <w:r w:rsidRPr="00695123">
              <w:rPr>
                <w:rFonts w:ascii="Arial" w:hAnsi="Arial" w:cs="Arial"/>
                <w:noProof/>
                <w:webHidden/>
                <w:sz w:val="20"/>
              </w:rPr>
              <w:tab/>
            </w:r>
            <w:r w:rsidR="00961CC6" w:rsidRPr="00695123">
              <w:rPr>
                <w:rFonts w:ascii="Arial" w:hAnsi="Arial" w:cs="Arial"/>
                <w:noProof/>
                <w:webHidden/>
                <w:sz w:val="20"/>
              </w:rPr>
              <w:t>21</w:t>
            </w:r>
          </w:hyperlink>
        </w:p>
        <w:p w14:paraId="64BBA1BB" w14:textId="32CD16F3" w:rsidR="00D7434E" w:rsidRPr="00695123" w:rsidRDefault="00D7434E">
          <w:pPr>
            <w:pStyle w:val="Verzeichnis1"/>
            <w:rPr>
              <w:rFonts w:ascii="Arial" w:eastAsiaTheme="minorEastAsia" w:hAnsi="Arial" w:cs="Arial"/>
              <w:noProof/>
              <w:sz w:val="20"/>
            </w:rPr>
          </w:pPr>
          <w:hyperlink w:anchor="_Toc492643837" w:history="1">
            <w:r w:rsidRPr="00695123">
              <w:rPr>
                <w:rStyle w:val="Hyperlink"/>
                <w:rFonts w:ascii="Arial" w:hAnsi="Arial" w:cs="Arial"/>
                <w:noProof/>
                <w:color w:val="auto"/>
                <w:sz w:val="20"/>
              </w:rPr>
              <w:t xml:space="preserve">§ </w:t>
            </w:r>
            <w:r w:rsidR="009A3350" w:rsidRPr="00695123">
              <w:rPr>
                <w:rStyle w:val="Hyperlink"/>
                <w:rFonts w:ascii="Arial" w:hAnsi="Arial" w:cs="Arial"/>
                <w:noProof/>
                <w:color w:val="auto"/>
                <w:sz w:val="20"/>
              </w:rPr>
              <w:t>24</w:t>
            </w:r>
            <w:r w:rsidRPr="00695123">
              <w:rPr>
                <w:rStyle w:val="Hyperlink"/>
                <w:rFonts w:ascii="Arial" w:hAnsi="Arial" w:cs="Arial"/>
                <w:noProof/>
                <w:color w:val="auto"/>
                <w:sz w:val="20"/>
              </w:rPr>
              <w:t>. Rückrufpflicht</w:t>
            </w:r>
            <w:r w:rsidRPr="00695123">
              <w:rPr>
                <w:rFonts w:ascii="Arial" w:hAnsi="Arial" w:cs="Arial"/>
                <w:noProof/>
                <w:webHidden/>
                <w:sz w:val="20"/>
              </w:rPr>
              <w:tab/>
            </w:r>
            <w:r w:rsidR="00961CC6" w:rsidRPr="00695123">
              <w:rPr>
                <w:rFonts w:ascii="Arial" w:hAnsi="Arial" w:cs="Arial"/>
                <w:noProof/>
                <w:webHidden/>
                <w:sz w:val="20"/>
              </w:rPr>
              <w:t>22</w:t>
            </w:r>
          </w:hyperlink>
        </w:p>
        <w:p w14:paraId="0D38768D" w14:textId="4E3B7E27" w:rsidR="00D7434E" w:rsidRPr="00695123" w:rsidRDefault="00D7434E">
          <w:pPr>
            <w:pStyle w:val="Verzeichnis1"/>
            <w:rPr>
              <w:rFonts w:ascii="Arial" w:eastAsiaTheme="minorEastAsia" w:hAnsi="Arial" w:cs="Arial"/>
              <w:noProof/>
              <w:sz w:val="20"/>
            </w:rPr>
          </w:pPr>
          <w:hyperlink w:anchor="_Toc492643838" w:history="1">
            <w:r w:rsidRPr="00695123">
              <w:rPr>
                <w:rStyle w:val="Hyperlink"/>
                <w:rFonts w:ascii="Arial" w:hAnsi="Arial" w:cs="Arial"/>
                <w:noProof/>
                <w:color w:val="auto"/>
                <w:sz w:val="20"/>
                <w:lang w:val="en-US"/>
              </w:rPr>
              <w:t xml:space="preserve">§ </w:t>
            </w:r>
            <w:r w:rsidR="009A3350" w:rsidRPr="00695123">
              <w:rPr>
                <w:rStyle w:val="Hyperlink"/>
                <w:rFonts w:ascii="Arial" w:hAnsi="Arial" w:cs="Arial"/>
                <w:noProof/>
                <w:color w:val="auto"/>
                <w:sz w:val="20"/>
                <w:lang w:val="en-US"/>
              </w:rPr>
              <w:t>24</w:t>
            </w:r>
            <w:r w:rsidRPr="00695123">
              <w:rPr>
                <w:rStyle w:val="Hyperlink"/>
                <w:rFonts w:ascii="Arial" w:hAnsi="Arial" w:cs="Arial"/>
                <w:noProof/>
                <w:color w:val="auto"/>
                <w:sz w:val="20"/>
                <w:lang w:val="en-US"/>
              </w:rPr>
              <w:t>. Recall duty</w:t>
            </w:r>
            <w:r w:rsidRPr="00695123">
              <w:rPr>
                <w:rFonts w:ascii="Arial" w:hAnsi="Arial" w:cs="Arial"/>
                <w:noProof/>
                <w:webHidden/>
                <w:sz w:val="20"/>
              </w:rPr>
              <w:tab/>
            </w:r>
            <w:r w:rsidR="00961CC6" w:rsidRPr="00695123">
              <w:rPr>
                <w:rFonts w:ascii="Arial" w:hAnsi="Arial" w:cs="Arial"/>
                <w:noProof/>
                <w:webHidden/>
                <w:sz w:val="20"/>
              </w:rPr>
              <w:t>22</w:t>
            </w:r>
          </w:hyperlink>
        </w:p>
        <w:p w14:paraId="4A28BD1D" w14:textId="562AC18A" w:rsidR="00D7434E" w:rsidRPr="00695123" w:rsidRDefault="00D7434E">
          <w:pPr>
            <w:pStyle w:val="Verzeichnis1"/>
            <w:rPr>
              <w:rFonts w:ascii="Arial" w:eastAsiaTheme="minorEastAsia" w:hAnsi="Arial" w:cs="Arial"/>
              <w:noProof/>
              <w:sz w:val="20"/>
            </w:rPr>
          </w:pPr>
          <w:hyperlink w:anchor="_Toc492643839" w:history="1">
            <w:r w:rsidRPr="00695123">
              <w:rPr>
                <w:rStyle w:val="Hyperlink"/>
                <w:rFonts w:ascii="Arial" w:hAnsi="Arial" w:cs="Arial"/>
                <w:noProof/>
                <w:color w:val="auto"/>
                <w:sz w:val="20"/>
              </w:rPr>
              <w:t xml:space="preserve">§ </w:t>
            </w:r>
            <w:r w:rsidR="009A3350" w:rsidRPr="00695123">
              <w:rPr>
                <w:rStyle w:val="Hyperlink"/>
                <w:rFonts w:ascii="Arial" w:hAnsi="Arial" w:cs="Arial"/>
                <w:noProof/>
                <w:color w:val="auto"/>
                <w:sz w:val="20"/>
              </w:rPr>
              <w:t>25</w:t>
            </w:r>
            <w:r w:rsidRPr="00695123">
              <w:rPr>
                <w:rStyle w:val="Hyperlink"/>
                <w:rFonts w:ascii="Arial" w:hAnsi="Arial" w:cs="Arial"/>
                <w:noProof/>
                <w:color w:val="auto"/>
                <w:sz w:val="20"/>
              </w:rPr>
              <w:t>. Geheimhaltung</w:t>
            </w:r>
            <w:r w:rsidRPr="00695123">
              <w:rPr>
                <w:rFonts w:ascii="Arial" w:hAnsi="Arial" w:cs="Arial"/>
                <w:noProof/>
                <w:webHidden/>
                <w:sz w:val="20"/>
              </w:rPr>
              <w:tab/>
            </w:r>
            <w:r w:rsidR="00961CC6" w:rsidRPr="00695123">
              <w:rPr>
                <w:rFonts w:ascii="Arial" w:hAnsi="Arial" w:cs="Arial"/>
                <w:noProof/>
                <w:webHidden/>
                <w:sz w:val="20"/>
              </w:rPr>
              <w:t>23</w:t>
            </w:r>
          </w:hyperlink>
        </w:p>
        <w:p w14:paraId="17EBDCBA" w14:textId="681B078C" w:rsidR="00D7434E" w:rsidRPr="00695123" w:rsidRDefault="00D7434E">
          <w:pPr>
            <w:pStyle w:val="Verzeichnis1"/>
            <w:rPr>
              <w:rFonts w:ascii="Arial" w:eastAsiaTheme="minorEastAsia" w:hAnsi="Arial" w:cs="Arial"/>
              <w:noProof/>
              <w:sz w:val="20"/>
            </w:rPr>
          </w:pPr>
          <w:hyperlink w:anchor="_Toc492643840" w:history="1">
            <w:r w:rsidRPr="00695123">
              <w:rPr>
                <w:rStyle w:val="Hyperlink"/>
                <w:rFonts w:ascii="Arial" w:hAnsi="Arial" w:cs="Arial"/>
                <w:noProof/>
                <w:color w:val="auto"/>
                <w:sz w:val="20"/>
                <w:lang w:val="en-US"/>
              </w:rPr>
              <w:t xml:space="preserve">§ </w:t>
            </w:r>
            <w:r w:rsidR="009A3350" w:rsidRPr="00695123">
              <w:rPr>
                <w:rStyle w:val="Hyperlink"/>
                <w:rFonts w:ascii="Arial" w:hAnsi="Arial" w:cs="Arial"/>
                <w:noProof/>
                <w:color w:val="auto"/>
                <w:sz w:val="20"/>
                <w:lang w:val="en-US"/>
              </w:rPr>
              <w:t>25</w:t>
            </w:r>
            <w:r w:rsidRPr="00695123">
              <w:rPr>
                <w:rStyle w:val="Hyperlink"/>
                <w:rFonts w:ascii="Arial" w:hAnsi="Arial" w:cs="Arial"/>
                <w:noProof/>
                <w:color w:val="auto"/>
                <w:sz w:val="20"/>
                <w:lang w:val="en-US"/>
              </w:rPr>
              <w:t>. Confidentiality</w:t>
            </w:r>
            <w:r w:rsidRPr="00695123">
              <w:rPr>
                <w:rFonts w:ascii="Arial" w:hAnsi="Arial" w:cs="Arial"/>
                <w:noProof/>
                <w:webHidden/>
                <w:sz w:val="20"/>
              </w:rPr>
              <w:tab/>
            </w:r>
            <w:r w:rsidR="00961CC6" w:rsidRPr="00695123">
              <w:rPr>
                <w:rFonts w:ascii="Arial" w:hAnsi="Arial" w:cs="Arial"/>
                <w:noProof/>
                <w:webHidden/>
                <w:sz w:val="20"/>
              </w:rPr>
              <w:t>23</w:t>
            </w:r>
          </w:hyperlink>
        </w:p>
        <w:p w14:paraId="4E7F8138" w14:textId="05B2F93B" w:rsidR="00D7434E" w:rsidRPr="00695123" w:rsidRDefault="00D7434E">
          <w:pPr>
            <w:pStyle w:val="Verzeichnis1"/>
            <w:rPr>
              <w:rFonts w:ascii="Arial" w:eastAsiaTheme="minorEastAsia" w:hAnsi="Arial" w:cs="Arial"/>
              <w:noProof/>
              <w:sz w:val="20"/>
            </w:rPr>
          </w:pPr>
          <w:hyperlink w:anchor="_Toc492643841" w:history="1">
            <w:r w:rsidRPr="00695123">
              <w:rPr>
                <w:rStyle w:val="Hyperlink"/>
                <w:rFonts w:ascii="Arial" w:hAnsi="Arial" w:cs="Arial"/>
                <w:noProof/>
                <w:color w:val="auto"/>
                <w:sz w:val="20"/>
              </w:rPr>
              <w:t>§ 2</w:t>
            </w:r>
            <w:r w:rsidR="009A3350" w:rsidRPr="00695123">
              <w:rPr>
                <w:rStyle w:val="Hyperlink"/>
                <w:rFonts w:ascii="Arial" w:hAnsi="Arial" w:cs="Arial"/>
                <w:noProof/>
                <w:color w:val="auto"/>
                <w:sz w:val="20"/>
              </w:rPr>
              <w:t>6</w:t>
            </w:r>
            <w:r w:rsidRPr="00695123">
              <w:rPr>
                <w:rStyle w:val="Hyperlink"/>
                <w:rFonts w:ascii="Arial" w:hAnsi="Arial" w:cs="Arial"/>
                <w:noProof/>
                <w:color w:val="auto"/>
                <w:sz w:val="20"/>
              </w:rPr>
              <w:t>. Umweltschutz, Arbeitsschutz, REACH-Verordnung</w:t>
            </w:r>
            <w:r w:rsidRPr="00695123">
              <w:rPr>
                <w:rFonts w:ascii="Arial" w:hAnsi="Arial" w:cs="Arial"/>
                <w:noProof/>
                <w:webHidden/>
                <w:sz w:val="20"/>
              </w:rPr>
              <w:tab/>
            </w:r>
            <w:r w:rsidR="00961CC6" w:rsidRPr="00695123">
              <w:rPr>
                <w:rFonts w:ascii="Arial" w:hAnsi="Arial" w:cs="Arial"/>
                <w:noProof/>
                <w:webHidden/>
                <w:sz w:val="20"/>
              </w:rPr>
              <w:t>23</w:t>
            </w:r>
          </w:hyperlink>
        </w:p>
        <w:p w14:paraId="0C8D1D49" w14:textId="26BF8346" w:rsidR="00D7434E" w:rsidRPr="00695123" w:rsidRDefault="00D7434E">
          <w:pPr>
            <w:pStyle w:val="Verzeichnis1"/>
            <w:rPr>
              <w:rFonts w:ascii="Arial" w:eastAsiaTheme="minorEastAsia" w:hAnsi="Arial" w:cs="Arial"/>
              <w:noProof/>
              <w:sz w:val="20"/>
            </w:rPr>
          </w:pPr>
          <w:hyperlink w:anchor="_Toc492643842" w:history="1">
            <w:r w:rsidRPr="00695123">
              <w:rPr>
                <w:rStyle w:val="Hyperlink"/>
                <w:rFonts w:ascii="Arial" w:hAnsi="Arial" w:cs="Arial"/>
                <w:noProof/>
                <w:color w:val="auto"/>
                <w:sz w:val="20"/>
                <w:lang w:val="en-US"/>
              </w:rPr>
              <w:t>§ 2</w:t>
            </w:r>
            <w:r w:rsidR="009A3350" w:rsidRPr="00695123">
              <w:rPr>
                <w:rStyle w:val="Hyperlink"/>
                <w:rFonts w:ascii="Arial" w:hAnsi="Arial" w:cs="Arial"/>
                <w:noProof/>
                <w:color w:val="auto"/>
                <w:sz w:val="20"/>
                <w:lang w:val="en-US"/>
              </w:rPr>
              <w:t>6</w:t>
            </w:r>
            <w:r w:rsidRPr="00695123">
              <w:rPr>
                <w:rStyle w:val="Hyperlink"/>
                <w:rFonts w:ascii="Arial" w:hAnsi="Arial" w:cs="Arial"/>
                <w:noProof/>
                <w:color w:val="auto"/>
                <w:sz w:val="20"/>
                <w:lang w:val="en-US"/>
              </w:rPr>
              <w:t>. Environmental protection, occupational health and safety, REACH Regulation</w:t>
            </w:r>
            <w:r w:rsidRPr="00695123">
              <w:rPr>
                <w:rFonts w:ascii="Arial" w:hAnsi="Arial" w:cs="Arial"/>
                <w:noProof/>
                <w:webHidden/>
                <w:sz w:val="20"/>
              </w:rPr>
              <w:tab/>
            </w:r>
            <w:r w:rsidR="00961CC6" w:rsidRPr="00695123">
              <w:rPr>
                <w:rFonts w:ascii="Arial" w:hAnsi="Arial" w:cs="Arial"/>
                <w:noProof/>
                <w:webHidden/>
                <w:sz w:val="20"/>
              </w:rPr>
              <w:t>23</w:t>
            </w:r>
          </w:hyperlink>
        </w:p>
        <w:p w14:paraId="1CA92821" w14:textId="4899BE45" w:rsidR="00D7434E" w:rsidRPr="00695123" w:rsidRDefault="00D7434E">
          <w:pPr>
            <w:pStyle w:val="Verzeichnis1"/>
            <w:rPr>
              <w:rFonts w:ascii="Arial" w:eastAsiaTheme="minorEastAsia" w:hAnsi="Arial" w:cs="Arial"/>
              <w:noProof/>
              <w:sz w:val="20"/>
            </w:rPr>
          </w:pPr>
          <w:hyperlink w:anchor="_Toc492643843" w:history="1">
            <w:r w:rsidRPr="00695123">
              <w:rPr>
                <w:rStyle w:val="Hyperlink"/>
                <w:rFonts w:ascii="Arial" w:hAnsi="Arial" w:cs="Arial"/>
                <w:noProof/>
                <w:color w:val="auto"/>
                <w:sz w:val="20"/>
              </w:rPr>
              <w:t>§ 2</w:t>
            </w:r>
            <w:r w:rsidR="009A3350" w:rsidRPr="00695123">
              <w:rPr>
                <w:rStyle w:val="Hyperlink"/>
                <w:rFonts w:ascii="Arial" w:hAnsi="Arial" w:cs="Arial"/>
                <w:noProof/>
                <w:color w:val="auto"/>
                <w:sz w:val="20"/>
              </w:rPr>
              <w:t>7</w:t>
            </w:r>
            <w:r w:rsidRPr="00695123">
              <w:rPr>
                <w:rStyle w:val="Hyperlink"/>
                <w:rFonts w:ascii="Arial" w:hAnsi="Arial" w:cs="Arial"/>
                <w:noProof/>
                <w:color w:val="auto"/>
                <w:sz w:val="20"/>
              </w:rPr>
              <w:t>. Antikorruptionsklausel und Verhaltenskodex</w:t>
            </w:r>
            <w:r w:rsidRPr="00695123">
              <w:rPr>
                <w:rFonts w:ascii="Arial" w:hAnsi="Arial" w:cs="Arial"/>
                <w:noProof/>
                <w:webHidden/>
                <w:sz w:val="20"/>
              </w:rPr>
              <w:tab/>
            </w:r>
            <w:r w:rsidR="00961CC6" w:rsidRPr="00695123">
              <w:rPr>
                <w:rFonts w:ascii="Arial" w:hAnsi="Arial" w:cs="Arial"/>
                <w:noProof/>
                <w:webHidden/>
                <w:sz w:val="20"/>
              </w:rPr>
              <w:t>24</w:t>
            </w:r>
          </w:hyperlink>
        </w:p>
        <w:p w14:paraId="20752CB8" w14:textId="3B921AF6" w:rsidR="00D7434E" w:rsidRPr="00695123" w:rsidRDefault="00D7434E">
          <w:pPr>
            <w:pStyle w:val="Verzeichnis1"/>
            <w:rPr>
              <w:rFonts w:ascii="Arial" w:eastAsiaTheme="minorEastAsia" w:hAnsi="Arial" w:cs="Arial"/>
              <w:noProof/>
              <w:sz w:val="20"/>
            </w:rPr>
          </w:pPr>
          <w:hyperlink w:anchor="_Toc492643844" w:history="1">
            <w:r w:rsidRPr="00695123">
              <w:rPr>
                <w:rStyle w:val="Hyperlink"/>
                <w:rFonts w:ascii="Arial" w:hAnsi="Arial" w:cs="Arial"/>
                <w:noProof/>
                <w:color w:val="auto"/>
                <w:sz w:val="20"/>
                <w:lang w:val="en-US"/>
              </w:rPr>
              <w:t>§ 2</w:t>
            </w:r>
            <w:r w:rsidR="009A3350" w:rsidRPr="00695123">
              <w:rPr>
                <w:rStyle w:val="Hyperlink"/>
                <w:rFonts w:ascii="Arial" w:hAnsi="Arial" w:cs="Arial"/>
                <w:noProof/>
                <w:color w:val="auto"/>
                <w:sz w:val="20"/>
                <w:lang w:val="en-US"/>
              </w:rPr>
              <w:t>7</w:t>
            </w:r>
            <w:r w:rsidRPr="00695123">
              <w:rPr>
                <w:rStyle w:val="Hyperlink"/>
                <w:rFonts w:ascii="Arial" w:hAnsi="Arial" w:cs="Arial"/>
                <w:noProof/>
                <w:color w:val="auto"/>
                <w:sz w:val="20"/>
                <w:lang w:val="en-US"/>
              </w:rPr>
              <w:t>. Anti-corruption clause and code of conduct</w:t>
            </w:r>
            <w:r w:rsidRPr="00695123">
              <w:rPr>
                <w:rFonts w:ascii="Arial" w:hAnsi="Arial" w:cs="Arial"/>
                <w:noProof/>
                <w:webHidden/>
                <w:sz w:val="20"/>
              </w:rPr>
              <w:tab/>
            </w:r>
            <w:r w:rsidR="00961CC6" w:rsidRPr="00695123">
              <w:rPr>
                <w:rFonts w:ascii="Arial" w:hAnsi="Arial" w:cs="Arial"/>
                <w:noProof/>
                <w:webHidden/>
                <w:sz w:val="20"/>
              </w:rPr>
              <w:t>24</w:t>
            </w:r>
          </w:hyperlink>
        </w:p>
        <w:p w14:paraId="4A414132" w14:textId="754F4D34" w:rsidR="00D7434E" w:rsidRPr="00695123" w:rsidRDefault="00D7434E">
          <w:pPr>
            <w:pStyle w:val="Verzeichnis1"/>
            <w:rPr>
              <w:rFonts w:ascii="Arial" w:eastAsiaTheme="minorEastAsia" w:hAnsi="Arial" w:cs="Arial"/>
              <w:noProof/>
              <w:sz w:val="20"/>
            </w:rPr>
          </w:pPr>
          <w:hyperlink w:anchor="_Toc492643845" w:history="1">
            <w:r w:rsidRPr="00695123">
              <w:rPr>
                <w:rStyle w:val="Hyperlink"/>
                <w:rFonts w:ascii="Arial" w:hAnsi="Arial" w:cs="Arial"/>
                <w:noProof/>
                <w:color w:val="auto"/>
                <w:sz w:val="20"/>
              </w:rPr>
              <w:t>§ 2</w:t>
            </w:r>
            <w:r w:rsidR="009A3350" w:rsidRPr="00695123">
              <w:rPr>
                <w:rStyle w:val="Hyperlink"/>
                <w:rFonts w:ascii="Arial" w:hAnsi="Arial" w:cs="Arial"/>
                <w:noProof/>
                <w:color w:val="auto"/>
                <w:sz w:val="20"/>
              </w:rPr>
              <w:t>8</w:t>
            </w:r>
            <w:r w:rsidRPr="00695123">
              <w:rPr>
                <w:rStyle w:val="Hyperlink"/>
                <w:rFonts w:ascii="Arial" w:hAnsi="Arial" w:cs="Arial"/>
                <w:noProof/>
                <w:color w:val="auto"/>
                <w:sz w:val="20"/>
              </w:rPr>
              <w:t>. Geltungsdauer</w:t>
            </w:r>
            <w:r w:rsidRPr="00695123">
              <w:rPr>
                <w:rFonts w:ascii="Arial" w:hAnsi="Arial" w:cs="Arial"/>
                <w:noProof/>
                <w:webHidden/>
                <w:sz w:val="20"/>
              </w:rPr>
              <w:tab/>
            </w:r>
            <w:r w:rsidR="00961CC6" w:rsidRPr="00695123">
              <w:rPr>
                <w:rFonts w:ascii="Arial" w:hAnsi="Arial" w:cs="Arial"/>
                <w:noProof/>
                <w:webHidden/>
                <w:sz w:val="20"/>
              </w:rPr>
              <w:t>25</w:t>
            </w:r>
          </w:hyperlink>
        </w:p>
        <w:p w14:paraId="446EF767" w14:textId="6F3CE581" w:rsidR="00D7434E" w:rsidRPr="00695123" w:rsidRDefault="00D7434E">
          <w:pPr>
            <w:pStyle w:val="Verzeichnis1"/>
            <w:rPr>
              <w:rFonts w:ascii="Arial" w:eastAsiaTheme="minorEastAsia" w:hAnsi="Arial" w:cs="Arial"/>
              <w:noProof/>
              <w:sz w:val="20"/>
            </w:rPr>
          </w:pPr>
          <w:hyperlink w:anchor="_Toc492643846" w:history="1">
            <w:r w:rsidRPr="00695123">
              <w:rPr>
                <w:rStyle w:val="Hyperlink"/>
                <w:rFonts w:ascii="Arial" w:hAnsi="Arial" w:cs="Arial"/>
                <w:noProof/>
                <w:color w:val="auto"/>
                <w:sz w:val="20"/>
                <w:lang w:val="en-GB"/>
              </w:rPr>
              <w:t>§ 2</w:t>
            </w:r>
            <w:r w:rsidR="009A3350" w:rsidRPr="00695123">
              <w:rPr>
                <w:rStyle w:val="Hyperlink"/>
                <w:rFonts w:ascii="Arial" w:hAnsi="Arial" w:cs="Arial"/>
                <w:noProof/>
                <w:color w:val="auto"/>
                <w:sz w:val="20"/>
                <w:lang w:val="en-GB"/>
              </w:rPr>
              <w:t>8</w:t>
            </w:r>
            <w:r w:rsidRPr="00695123">
              <w:rPr>
                <w:rStyle w:val="Hyperlink"/>
                <w:rFonts w:ascii="Arial" w:hAnsi="Arial" w:cs="Arial"/>
                <w:noProof/>
                <w:color w:val="auto"/>
                <w:sz w:val="20"/>
                <w:lang w:val="en-GB"/>
              </w:rPr>
              <w:t>. Term</w:t>
            </w:r>
            <w:r w:rsidRPr="00695123">
              <w:rPr>
                <w:rFonts w:ascii="Arial" w:hAnsi="Arial" w:cs="Arial"/>
                <w:noProof/>
                <w:webHidden/>
                <w:sz w:val="20"/>
              </w:rPr>
              <w:tab/>
            </w:r>
            <w:r w:rsidR="00961CC6" w:rsidRPr="00695123">
              <w:rPr>
                <w:rFonts w:ascii="Arial" w:hAnsi="Arial" w:cs="Arial"/>
                <w:noProof/>
                <w:webHidden/>
                <w:sz w:val="20"/>
              </w:rPr>
              <w:t>25</w:t>
            </w:r>
          </w:hyperlink>
        </w:p>
        <w:p w14:paraId="7015F4E5" w14:textId="4087E1B0" w:rsidR="00D7434E" w:rsidRPr="00695123" w:rsidRDefault="00D7434E">
          <w:pPr>
            <w:pStyle w:val="Verzeichnis1"/>
            <w:rPr>
              <w:rFonts w:ascii="Arial" w:eastAsiaTheme="minorEastAsia" w:hAnsi="Arial" w:cs="Arial"/>
              <w:noProof/>
              <w:sz w:val="20"/>
            </w:rPr>
          </w:pPr>
          <w:hyperlink w:anchor="_Toc492643847" w:history="1">
            <w:r w:rsidRPr="00695123">
              <w:rPr>
                <w:rStyle w:val="Hyperlink"/>
                <w:rFonts w:ascii="Arial" w:hAnsi="Arial" w:cs="Arial"/>
                <w:noProof/>
                <w:color w:val="auto"/>
                <w:sz w:val="20"/>
              </w:rPr>
              <w:t>§ 2</w:t>
            </w:r>
            <w:r w:rsidR="009A3350" w:rsidRPr="00695123">
              <w:rPr>
                <w:rStyle w:val="Hyperlink"/>
                <w:rFonts w:ascii="Arial" w:hAnsi="Arial" w:cs="Arial"/>
                <w:noProof/>
                <w:color w:val="auto"/>
                <w:sz w:val="20"/>
              </w:rPr>
              <w:t>9</w:t>
            </w:r>
            <w:r w:rsidRPr="00695123">
              <w:rPr>
                <w:rStyle w:val="Hyperlink"/>
                <w:rFonts w:ascii="Arial" w:hAnsi="Arial" w:cs="Arial"/>
                <w:noProof/>
                <w:color w:val="auto"/>
                <w:sz w:val="20"/>
              </w:rPr>
              <w:t>. Schlussbestimmungen</w:t>
            </w:r>
            <w:r w:rsidRPr="00695123">
              <w:rPr>
                <w:rFonts w:ascii="Arial" w:hAnsi="Arial" w:cs="Arial"/>
                <w:noProof/>
                <w:webHidden/>
                <w:sz w:val="20"/>
              </w:rPr>
              <w:tab/>
            </w:r>
            <w:r w:rsidR="00961CC6" w:rsidRPr="00695123">
              <w:rPr>
                <w:rFonts w:ascii="Arial" w:hAnsi="Arial" w:cs="Arial"/>
                <w:noProof/>
                <w:webHidden/>
                <w:sz w:val="20"/>
              </w:rPr>
              <w:t>25</w:t>
            </w:r>
          </w:hyperlink>
        </w:p>
        <w:p w14:paraId="1560E42A" w14:textId="4055CCC5" w:rsidR="00D7434E" w:rsidRPr="00167F98" w:rsidRDefault="00D7434E">
          <w:pPr>
            <w:pStyle w:val="Verzeichnis1"/>
            <w:rPr>
              <w:rFonts w:ascii="Arial" w:eastAsiaTheme="minorEastAsia" w:hAnsi="Arial" w:cs="Arial"/>
              <w:noProof/>
              <w:sz w:val="20"/>
            </w:rPr>
          </w:pPr>
          <w:hyperlink w:anchor="_Toc492643848" w:history="1">
            <w:r w:rsidRPr="00695123">
              <w:rPr>
                <w:rStyle w:val="Hyperlink"/>
                <w:rFonts w:ascii="Arial" w:hAnsi="Arial" w:cs="Arial"/>
                <w:noProof/>
                <w:color w:val="auto"/>
                <w:sz w:val="20"/>
                <w:lang w:val="en-US"/>
              </w:rPr>
              <w:t>§ 2</w:t>
            </w:r>
            <w:r w:rsidR="009A3350" w:rsidRPr="00695123">
              <w:rPr>
                <w:rStyle w:val="Hyperlink"/>
                <w:rFonts w:ascii="Arial" w:hAnsi="Arial" w:cs="Arial"/>
                <w:noProof/>
                <w:color w:val="auto"/>
                <w:sz w:val="20"/>
                <w:lang w:val="en-US"/>
              </w:rPr>
              <w:t>9</w:t>
            </w:r>
            <w:r w:rsidRPr="00695123">
              <w:rPr>
                <w:rStyle w:val="Hyperlink"/>
                <w:rFonts w:ascii="Arial" w:hAnsi="Arial" w:cs="Arial"/>
                <w:noProof/>
                <w:color w:val="auto"/>
                <w:sz w:val="20"/>
                <w:lang w:val="en-US"/>
              </w:rPr>
              <w:t>. Miscellaneous</w:t>
            </w:r>
            <w:r w:rsidRPr="00695123">
              <w:rPr>
                <w:rFonts w:ascii="Arial" w:hAnsi="Arial" w:cs="Arial"/>
                <w:noProof/>
                <w:webHidden/>
                <w:sz w:val="20"/>
              </w:rPr>
              <w:tab/>
            </w:r>
            <w:r w:rsidR="00961CC6" w:rsidRPr="00695123">
              <w:rPr>
                <w:rFonts w:ascii="Arial" w:hAnsi="Arial" w:cs="Arial"/>
                <w:noProof/>
                <w:webHidden/>
                <w:sz w:val="20"/>
              </w:rPr>
              <w:t>25</w:t>
            </w:r>
          </w:hyperlink>
        </w:p>
        <w:p w14:paraId="411DD32F" w14:textId="77777777" w:rsidR="001954AE" w:rsidRPr="00167F98" w:rsidRDefault="001954AE">
          <w:r w:rsidRPr="00167F98">
            <w:rPr>
              <w:rFonts w:ascii="Arial" w:hAnsi="Arial" w:cs="Arial"/>
              <w:b/>
              <w:bCs/>
              <w:sz w:val="20"/>
            </w:rPr>
            <w:fldChar w:fldCharType="end"/>
          </w:r>
        </w:p>
      </w:sdtContent>
    </w:sdt>
    <w:tbl>
      <w:tblPr>
        <w:tblStyle w:val="Tabellenraster"/>
        <w:tblW w:w="0" w:type="auto"/>
        <w:tblLook w:val="04A0" w:firstRow="1" w:lastRow="0" w:firstColumn="1" w:lastColumn="0" w:noHBand="0" w:noVBand="1"/>
      </w:tblPr>
      <w:tblGrid>
        <w:gridCol w:w="4992"/>
        <w:gridCol w:w="4930"/>
      </w:tblGrid>
      <w:tr w:rsidR="00167F98" w:rsidRPr="00473277" w14:paraId="0E4B0734" w14:textId="77777777" w:rsidTr="003437CA">
        <w:tc>
          <w:tcPr>
            <w:tcW w:w="4992" w:type="dxa"/>
            <w:tcBorders>
              <w:top w:val="nil"/>
              <w:left w:val="nil"/>
              <w:bottom w:val="nil"/>
              <w:right w:val="nil"/>
            </w:tcBorders>
          </w:tcPr>
          <w:p w14:paraId="303B8732" w14:textId="77777777" w:rsidR="00B66316" w:rsidRPr="00167F98" w:rsidRDefault="00B66316" w:rsidP="00017D97">
            <w:pPr>
              <w:pStyle w:val="berschrift1"/>
              <w:numPr>
                <w:ilvl w:val="0"/>
                <w:numId w:val="0"/>
              </w:numPr>
              <w:ind w:left="357" w:hanging="357"/>
            </w:pPr>
            <w:bookmarkStart w:id="0" w:name="_Toc492627339"/>
            <w:bookmarkStart w:id="1" w:name="_Toc492643801"/>
            <w:r w:rsidRPr="00167F98">
              <w:t>Präambel</w:t>
            </w:r>
            <w:bookmarkEnd w:id="0"/>
            <w:bookmarkEnd w:id="1"/>
            <w:r w:rsidRPr="00167F98">
              <w:t xml:space="preserve"> </w:t>
            </w:r>
          </w:p>
          <w:p w14:paraId="76BE49D3" w14:textId="77777777" w:rsidR="00B66316" w:rsidRPr="00167F98" w:rsidRDefault="00B66316" w:rsidP="00017D97">
            <w:pPr>
              <w:pStyle w:val="StandardDEEN"/>
            </w:pPr>
            <w:r w:rsidRPr="00167F98">
              <w:t>Die Wettbewerbsfähigkeit und Position der KAYSER Unternehmensgruppe auf dem Weltmarkt wird durch die Qualität ihrer Produkte entscheidend bestimmt. Die einwandfreie Beschaffenheit und Zuverlässigkeit der von unseren Lieferanten zugekauften Produkte haben dabei entsprechenden Einfluss auf die hoch technisierten Produktionseinrichtungen der KAYSER Unternehmensgruppe. Qualität erfordert ein zeitgemäßes und wirksames Qualitätsmanagementsystem auch beim Lieferanten.</w:t>
            </w:r>
          </w:p>
          <w:p w14:paraId="7D231A7C" w14:textId="77777777" w:rsidR="00B66316" w:rsidRPr="00167F98" w:rsidRDefault="00B66316" w:rsidP="00017D97">
            <w:pPr>
              <w:pStyle w:val="StandardDEEN"/>
            </w:pPr>
            <w:r w:rsidRPr="00167F98">
              <w:t xml:space="preserve">Diese Qualitätssicherungsvereinbarung (QSV) ist die verbindliche Festlegung der technischen und organisatorischen Rahmenbedingungen, bezüglich sämtlicher Lieferungen und Leistungen an die KAYSER Unternehmensgruppe, die zur Erreichung des gemeinsam angestrebten Qualitätszieles „Null-Fehler“ erforderlich sind. Die Vereinbarung beschreibt die Mindestanforderungen an das Qualitätsmanagementsystem des Lieferanten und regelt Rechte und Pflichten im Hinblick auf die Qualitätssicherung für die </w:t>
            </w:r>
            <w:proofErr w:type="gramStart"/>
            <w:r w:rsidRPr="00167F98">
              <w:t>vom  Lieferanten</w:t>
            </w:r>
            <w:proofErr w:type="gramEnd"/>
            <w:r w:rsidRPr="00167F98">
              <w:t xml:space="preserve"> zu liefernden Produkte</w:t>
            </w:r>
            <w:r w:rsidR="002A5D54" w:rsidRPr="00167F98">
              <w:t xml:space="preserve"> und zu erbringenden Leistungen</w:t>
            </w:r>
            <w:r w:rsidRPr="00167F98">
              <w:t>.</w:t>
            </w:r>
          </w:p>
          <w:p w14:paraId="46BC0A8C" w14:textId="77777777" w:rsidR="00B66316" w:rsidRPr="00167F98" w:rsidRDefault="00B66316" w:rsidP="00017D97">
            <w:pPr>
              <w:pStyle w:val="StandardDEEN"/>
            </w:pPr>
            <w:r w:rsidRPr="00167F98">
              <w:t>Ziel der Vereinbarung ist es, die Qualität der Produkte zu sichern, die Zusammenarbeit zwischen KAYSER und dem Lieferant</w:t>
            </w:r>
            <w:r w:rsidR="002A5D54" w:rsidRPr="00167F98">
              <w:t>en</w:t>
            </w:r>
            <w:r w:rsidRPr="00167F98">
              <w:t xml:space="preserve"> zu optimieren und gemeinsam den stetig steigenden Marktansprüchen hinsichtlich Qualität und Zuverlässigkeit zu genügen.</w:t>
            </w:r>
          </w:p>
        </w:tc>
        <w:tc>
          <w:tcPr>
            <w:tcW w:w="4930" w:type="dxa"/>
            <w:tcBorders>
              <w:top w:val="nil"/>
              <w:left w:val="nil"/>
              <w:bottom w:val="nil"/>
              <w:right w:val="nil"/>
            </w:tcBorders>
          </w:tcPr>
          <w:p w14:paraId="36ED6E4F" w14:textId="77777777" w:rsidR="001954AE" w:rsidRPr="00167F98" w:rsidRDefault="001954AE" w:rsidP="001954AE">
            <w:pPr>
              <w:pStyle w:val="berschriftEN1"/>
              <w:numPr>
                <w:ilvl w:val="0"/>
                <w:numId w:val="0"/>
              </w:numPr>
              <w:ind w:left="360" w:hanging="360"/>
              <w:rPr>
                <w:lang w:val="en-US"/>
              </w:rPr>
            </w:pPr>
            <w:bookmarkStart w:id="2" w:name="_Toc492550460"/>
            <w:bookmarkStart w:id="3" w:name="_Toc492643802"/>
            <w:r w:rsidRPr="00167F98">
              <w:rPr>
                <w:lang w:val="en-US"/>
              </w:rPr>
              <w:t>Preamble</w:t>
            </w:r>
            <w:bookmarkEnd w:id="2"/>
            <w:bookmarkEnd w:id="3"/>
            <w:r w:rsidRPr="00167F98">
              <w:rPr>
                <w:lang w:val="en-US"/>
              </w:rPr>
              <w:t xml:space="preserve"> </w:t>
            </w:r>
          </w:p>
          <w:p w14:paraId="4DAD912F" w14:textId="77777777" w:rsidR="001954AE" w:rsidRPr="00167F98" w:rsidRDefault="001954AE" w:rsidP="001954AE">
            <w:pPr>
              <w:pStyle w:val="StandardDEEN"/>
              <w:rPr>
                <w:lang w:val="en-GB"/>
              </w:rPr>
            </w:pPr>
            <w:r w:rsidRPr="00167F98">
              <w:rPr>
                <w:lang w:val="en-GB"/>
              </w:rPr>
              <w:t>A decisive factor for the competitiveness and position of the KAYSER Group on the world market is the quality of its products. The flawless condition and reliability of the products purchased from our suppliers influence the highly technical production facilities of the KAYSER Group accordingly. Quality demands a contemporary and effective quality management system also on the part of suppliers.</w:t>
            </w:r>
          </w:p>
          <w:p w14:paraId="16A792AA" w14:textId="77777777" w:rsidR="001954AE" w:rsidRPr="00167F98" w:rsidRDefault="001954AE" w:rsidP="001954AE">
            <w:pPr>
              <w:pStyle w:val="StandardDEEN"/>
              <w:rPr>
                <w:lang w:val="en-GB"/>
              </w:rPr>
            </w:pPr>
          </w:p>
          <w:p w14:paraId="35B24E63" w14:textId="77777777" w:rsidR="001954AE" w:rsidRPr="00167F98" w:rsidRDefault="001954AE" w:rsidP="001954AE">
            <w:pPr>
              <w:pStyle w:val="StandardDEEN"/>
              <w:rPr>
                <w:lang w:val="en-GB"/>
              </w:rPr>
            </w:pPr>
            <w:r w:rsidRPr="00167F98">
              <w:rPr>
                <w:lang w:val="en-GB"/>
              </w:rPr>
              <w:t xml:space="preserve">This Quality Assurance Agreement (QAA) constitutes the binding stipulation of the technical and organisational framework conditions for all deliveries and services to the KAYSER Group which are necessary to achieve the jointly aspired-to quality goal of “zero defects”. The Agreement describes the minimum requirements placed on the Supplier’s quality management system and regulates rights and duties with respect to the quality assurance for the products to be supplied </w:t>
            </w:r>
            <w:r w:rsidR="002A5D54" w:rsidRPr="00167F98">
              <w:rPr>
                <w:lang w:val="en-GB"/>
              </w:rPr>
              <w:t xml:space="preserve">or services to be rendered </w:t>
            </w:r>
            <w:r w:rsidRPr="00167F98">
              <w:rPr>
                <w:lang w:val="en-GB"/>
              </w:rPr>
              <w:t>by the Supplier.</w:t>
            </w:r>
          </w:p>
          <w:p w14:paraId="14760283" w14:textId="21769A36" w:rsidR="00B66316" w:rsidRPr="00167F98" w:rsidRDefault="00E46A28" w:rsidP="001954AE">
            <w:pPr>
              <w:pStyle w:val="StandardDEEN"/>
              <w:rPr>
                <w:lang w:val="en-GB"/>
              </w:rPr>
            </w:pPr>
            <w:r>
              <w:rPr>
                <w:lang w:val="en-GB"/>
              </w:rPr>
              <w:br/>
            </w:r>
            <w:r w:rsidR="001954AE" w:rsidRPr="00167F98">
              <w:rPr>
                <w:lang w:val="en-GB"/>
              </w:rPr>
              <w:t>The aim of the Agreement is to ensure the quality of the products, to optimise collaboration between KAYSER and the Supplier and to jointly satisfy the steadily growing market requirements in terms of quality and reliability.</w:t>
            </w:r>
          </w:p>
        </w:tc>
      </w:tr>
      <w:tr w:rsidR="00167F98" w:rsidRPr="00473277" w14:paraId="6C08840D" w14:textId="77777777" w:rsidTr="003437CA">
        <w:tc>
          <w:tcPr>
            <w:tcW w:w="4992" w:type="dxa"/>
            <w:tcBorders>
              <w:top w:val="nil"/>
              <w:left w:val="nil"/>
              <w:bottom w:val="nil"/>
              <w:right w:val="nil"/>
            </w:tcBorders>
          </w:tcPr>
          <w:p w14:paraId="6F5FFE6D" w14:textId="77777777" w:rsidR="00B66316" w:rsidRPr="00167F98" w:rsidRDefault="00B66316" w:rsidP="00017D97">
            <w:pPr>
              <w:pStyle w:val="berschrift1"/>
              <w:numPr>
                <w:ilvl w:val="0"/>
                <w:numId w:val="0"/>
              </w:numPr>
              <w:ind w:left="357" w:hanging="357"/>
            </w:pPr>
            <w:bookmarkStart w:id="4" w:name="_Toc492627340"/>
            <w:bookmarkStart w:id="5" w:name="_Toc492643803"/>
            <w:r w:rsidRPr="00167F98">
              <w:t>§ 1. Geltungsbereich</w:t>
            </w:r>
            <w:bookmarkEnd w:id="4"/>
            <w:bookmarkEnd w:id="5"/>
          </w:p>
          <w:p w14:paraId="50B07FB3" w14:textId="77777777" w:rsidR="00B66316" w:rsidRDefault="00B66316" w:rsidP="00017D97">
            <w:pPr>
              <w:pStyle w:val="StandardDEEN"/>
            </w:pPr>
            <w:r w:rsidRPr="00167F98">
              <w:t>Diese Qualitätssicherungsvereinbarung gilt für alle Produkte und Leistungen (nachfolgend „Produkte“ genannt), die der Lieferant an ein oder mehrere Standorte der KAYSER Unternehmensgruppe, ab dem Zeitpunkt der Erstbestellung und/oder Abschluss eines Liefer- oder Kooperationsvertrages, liefert</w:t>
            </w:r>
            <w:r w:rsidR="002A5D54" w:rsidRPr="00167F98">
              <w:t>/erbringt</w:t>
            </w:r>
            <w:r w:rsidRPr="00167F98">
              <w:t>.</w:t>
            </w:r>
          </w:p>
          <w:p w14:paraId="1E1FE9A5" w14:textId="77777777" w:rsidR="00B66316" w:rsidRDefault="00B66316" w:rsidP="00017D97">
            <w:pPr>
              <w:pStyle w:val="StandardDEEN"/>
            </w:pPr>
            <w:r w:rsidRPr="00167F98">
              <w:t>Diese Vereinbarung gilt zusammen mit allen zwischen KAYSER und dem Lieferanten abgeschlossenen Vereinbarungen, sowie den Einkaufsbedingungen von KAYSER, sofern keine andere Regelung getroffen ist.</w:t>
            </w:r>
          </w:p>
          <w:p w14:paraId="1485F292" w14:textId="0D563EC5" w:rsidR="00153BE6" w:rsidRPr="001D527D" w:rsidRDefault="00153BE6" w:rsidP="00017D97">
            <w:pPr>
              <w:pStyle w:val="StandardDEEN"/>
              <w:rPr>
                <w:color w:val="00B0F0"/>
              </w:rPr>
            </w:pPr>
            <w:r w:rsidRPr="00F40173">
              <w:t>Vom Lieferanten gewünschte Abweichungen von dieser Vereinbarung bedürfen einer Abstimmung mit KAYSER sowie einer Bestätigung in Textform.</w:t>
            </w:r>
          </w:p>
        </w:tc>
        <w:tc>
          <w:tcPr>
            <w:tcW w:w="4930" w:type="dxa"/>
            <w:tcBorders>
              <w:top w:val="nil"/>
              <w:left w:val="nil"/>
              <w:bottom w:val="nil"/>
              <w:right w:val="nil"/>
            </w:tcBorders>
          </w:tcPr>
          <w:p w14:paraId="71B780AF" w14:textId="77777777" w:rsidR="001954AE" w:rsidRPr="00167F98" w:rsidRDefault="001954AE" w:rsidP="001954AE">
            <w:pPr>
              <w:pStyle w:val="berschriftEN1"/>
              <w:numPr>
                <w:ilvl w:val="0"/>
                <w:numId w:val="0"/>
              </w:numPr>
              <w:rPr>
                <w:lang w:val="en-US"/>
              </w:rPr>
            </w:pPr>
            <w:bookmarkStart w:id="6" w:name="_Toc492550461"/>
            <w:bookmarkStart w:id="7" w:name="_Toc492643804"/>
            <w:r w:rsidRPr="00167F98">
              <w:rPr>
                <w:lang w:val="en-US"/>
              </w:rPr>
              <w:t>§ 1. Scope</w:t>
            </w:r>
            <w:bookmarkEnd w:id="6"/>
            <w:bookmarkEnd w:id="7"/>
          </w:p>
          <w:p w14:paraId="27D0BBE0" w14:textId="77777777" w:rsidR="001954AE" w:rsidRPr="00167F98" w:rsidRDefault="001954AE" w:rsidP="001954AE">
            <w:pPr>
              <w:pStyle w:val="StandardDEEN"/>
              <w:rPr>
                <w:lang w:val="en-US"/>
              </w:rPr>
            </w:pPr>
            <w:r w:rsidRPr="00167F98">
              <w:rPr>
                <w:lang w:val="en-US"/>
              </w:rPr>
              <w:t>This Quality Assurance Agreement applies to all products and services (referred to in the following as “products”) which the Supplier supplies</w:t>
            </w:r>
            <w:r w:rsidR="002A5D54" w:rsidRPr="00167F98">
              <w:rPr>
                <w:lang w:val="en-US"/>
              </w:rPr>
              <w:t>/renders</w:t>
            </w:r>
            <w:r w:rsidRPr="00167F98">
              <w:rPr>
                <w:lang w:val="en-US"/>
              </w:rPr>
              <w:t xml:space="preserve"> to one or several locations of the KAYSER Group, starting from the date of the first order and/or conclusion of a supplier or collaboration agreement.</w:t>
            </w:r>
          </w:p>
          <w:p w14:paraId="0DC4556C" w14:textId="5E06C34F" w:rsidR="00B66316" w:rsidRDefault="00E46A28" w:rsidP="001954AE">
            <w:pPr>
              <w:pStyle w:val="StandardDEEN"/>
              <w:rPr>
                <w:lang w:val="en-US"/>
              </w:rPr>
            </w:pPr>
            <w:r>
              <w:rPr>
                <w:lang w:val="en-US"/>
              </w:rPr>
              <w:br/>
            </w:r>
            <w:r w:rsidR="001954AE" w:rsidRPr="00167F98">
              <w:rPr>
                <w:lang w:val="en-US"/>
              </w:rPr>
              <w:t>This Agreement applies together with all agreements concluded between KAYSER and the Supplier, and to the terms and conditions of purchase of KAYSER, unless no other provision has been agreed.</w:t>
            </w:r>
          </w:p>
          <w:p w14:paraId="400DC9EE" w14:textId="77777777" w:rsidR="00153BE6" w:rsidRPr="00167F98" w:rsidRDefault="00153BE6" w:rsidP="001954AE">
            <w:pPr>
              <w:pStyle w:val="StandardDEEN"/>
              <w:rPr>
                <w:lang w:val="en-US"/>
              </w:rPr>
            </w:pPr>
            <w:r w:rsidRPr="00F40173">
              <w:rPr>
                <w:lang w:val="en-US"/>
              </w:rPr>
              <w:t>Any deviations from this agreement requested by the Supplier must be agreed with KAYSER and confirmed in text form.</w:t>
            </w:r>
          </w:p>
        </w:tc>
      </w:tr>
      <w:tr w:rsidR="00167F98" w:rsidRPr="00473277" w14:paraId="39BB686C" w14:textId="77777777" w:rsidTr="003437CA">
        <w:tc>
          <w:tcPr>
            <w:tcW w:w="4992" w:type="dxa"/>
            <w:tcBorders>
              <w:top w:val="nil"/>
              <w:left w:val="nil"/>
              <w:bottom w:val="nil"/>
              <w:right w:val="nil"/>
            </w:tcBorders>
          </w:tcPr>
          <w:p w14:paraId="1DBEE9B3" w14:textId="77777777" w:rsidR="00B66316" w:rsidRPr="00167F98" w:rsidRDefault="00B66316" w:rsidP="00B7318F">
            <w:pPr>
              <w:pStyle w:val="berschrift1"/>
              <w:numPr>
                <w:ilvl w:val="0"/>
                <w:numId w:val="0"/>
              </w:numPr>
              <w:ind w:left="567" w:hanging="567"/>
            </w:pPr>
            <w:bookmarkStart w:id="8" w:name="_Toc492627341"/>
            <w:bookmarkStart w:id="9" w:name="_Toc492643805"/>
            <w:r w:rsidRPr="00167F98">
              <w:t>§ 2. Technische Unterlagen und Anforderungen</w:t>
            </w:r>
            <w:bookmarkEnd w:id="8"/>
            <w:bookmarkEnd w:id="9"/>
          </w:p>
          <w:p w14:paraId="40183EFC" w14:textId="6E87A0AE" w:rsidR="00B66316" w:rsidRPr="00167F98" w:rsidRDefault="00B66316" w:rsidP="00017D97">
            <w:pPr>
              <w:pStyle w:val="StandardDEEN"/>
            </w:pPr>
            <w:r w:rsidRPr="00167F98">
              <w:t xml:space="preserve">Die einzelnen Qualitätsanforderungen ergeben sich aus den jeweiligen technischen Unterlagen zur Bestellung, insbesondere aus den dazugehörigen technischen Spezifikationen, kundenspezifischen Anforderungen, technischen Dokumentationen, Zeichnungen, Lieferbedingungen, Anweisungen, Lasten- und Pflichtenheften des Kunden, Eigen- oder Fremdformen, Mustern, </w:t>
            </w:r>
            <w:r w:rsidR="002A5D54" w:rsidRPr="00167F98">
              <w:t xml:space="preserve">geltenden </w:t>
            </w:r>
            <w:r w:rsidRPr="00167F98">
              <w:t xml:space="preserve">gesetzlichen und behördlichen Anforderungen usw. Der Lieferant erhält </w:t>
            </w:r>
            <w:r w:rsidR="00E55643" w:rsidRPr="00167F98">
              <w:t xml:space="preserve">von KAYSER </w:t>
            </w:r>
            <w:r w:rsidRPr="00167F98">
              <w:t xml:space="preserve">immer die neuesten technischen Unterlagen in Druck- oder Datenform. </w:t>
            </w:r>
            <w:r w:rsidR="00831BE4" w:rsidRPr="00167F98">
              <w:t xml:space="preserve">Sollte dies unterbleiben, ist der Lieferant verpflichtet, sich die zur Erbringung seiner geschuldeten Leistung erforderlichen Informationen zu beschaffen. </w:t>
            </w:r>
          </w:p>
          <w:p w14:paraId="7D3523E8" w14:textId="77777777" w:rsidR="00BC6780" w:rsidRPr="00167F98" w:rsidRDefault="009B1547" w:rsidP="009B1547">
            <w:pPr>
              <w:pStyle w:val="StandardDEEN"/>
              <w:jc w:val="left"/>
            </w:pPr>
            <w:r w:rsidRPr="00167F98">
              <w:t xml:space="preserve">Kundenspezifische Anforderungen (CSR) der OEM können auf der </w:t>
            </w:r>
            <w:proofErr w:type="gramStart"/>
            <w:r w:rsidRPr="00167F98">
              <w:t>IATF Webseite</w:t>
            </w:r>
            <w:proofErr w:type="gramEnd"/>
            <w:r w:rsidRPr="00167F98">
              <w:t xml:space="preserve"> unter folgendem Link herunter geladen werden: </w:t>
            </w:r>
            <w:hyperlink r:id="rId11" w:history="1">
              <w:r w:rsidRPr="00167F98">
                <w:rPr>
                  <w:rStyle w:val="Hyperlink"/>
                  <w:color w:val="auto"/>
                </w:rPr>
                <w:t>https://www.iatfglobaloversight.org/oem-requirements/customer-specific-requirements/</w:t>
              </w:r>
            </w:hyperlink>
          </w:p>
          <w:p w14:paraId="7AAF7DBA" w14:textId="77777777" w:rsidR="00B66316" w:rsidRPr="00167F98" w:rsidRDefault="00B66316" w:rsidP="00017D97">
            <w:pPr>
              <w:pStyle w:val="StandardDEEN"/>
            </w:pPr>
            <w:r w:rsidRPr="00167F98">
              <w:t xml:space="preserve">Des Weiteren ist der Lieferant </w:t>
            </w:r>
            <w:proofErr w:type="gramStart"/>
            <w:r w:rsidRPr="00167F98">
              <w:t>verpflichtet</w:t>
            </w:r>
            <w:proofErr w:type="gramEnd"/>
            <w:r w:rsidRPr="00167F98">
              <w:t xml:space="preserve"> dass alle zutreffenden Anforderungen in der gesamten Lieferkette weitergegeben werden</w:t>
            </w:r>
            <w:r w:rsidR="0067557A" w:rsidRPr="00167F98">
              <w:t>.</w:t>
            </w:r>
          </w:p>
          <w:p w14:paraId="397751EA" w14:textId="77777777" w:rsidR="00B66316" w:rsidRPr="00167F98" w:rsidRDefault="00B66316" w:rsidP="00017D97">
            <w:pPr>
              <w:pStyle w:val="StandardDEEN"/>
            </w:pPr>
            <w:r w:rsidRPr="00167F98">
              <w:t xml:space="preserve">Der Lieferant ist verpflichtet, sicherzustellen, dass nach diesen, ihm vorliegenden und gemeinsam vereinbarten Unterlagen gefertigt und geprüft </w:t>
            </w:r>
            <w:proofErr w:type="gramStart"/>
            <w:r w:rsidRPr="00167F98">
              <w:t>wird</w:t>
            </w:r>
            <w:proofErr w:type="gramEnd"/>
            <w:r w:rsidR="006522B8" w:rsidRPr="00167F98">
              <w:t>.</w:t>
            </w:r>
          </w:p>
        </w:tc>
        <w:tc>
          <w:tcPr>
            <w:tcW w:w="4930" w:type="dxa"/>
            <w:tcBorders>
              <w:top w:val="nil"/>
              <w:left w:val="nil"/>
              <w:bottom w:val="nil"/>
              <w:right w:val="nil"/>
            </w:tcBorders>
          </w:tcPr>
          <w:p w14:paraId="318E55E6" w14:textId="77777777" w:rsidR="001954AE" w:rsidRPr="00167F98" w:rsidRDefault="001954AE" w:rsidP="00B7318F">
            <w:pPr>
              <w:pStyle w:val="berschriftEN1"/>
              <w:numPr>
                <w:ilvl w:val="0"/>
                <w:numId w:val="0"/>
              </w:numPr>
              <w:ind w:left="567" w:hanging="567"/>
              <w:rPr>
                <w:lang w:val="en-US"/>
              </w:rPr>
            </w:pPr>
            <w:bookmarkStart w:id="10" w:name="_Toc492550462"/>
            <w:bookmarkStart w:id="11" w:name="_Toc492643806"/>
            <w:r w:rsidRPr="00167F98">
              <w:rPr>
                <w:lang w:val="en-US"/>
              </w:rPr>
              <w:t>§ 2. Technical documents and requirements</w:t>
            </w:r>
            <w:bookmarkEnd w:id="10"/>
            <w:bookmarkEnd w:id="11"/>
          </w:p>
          <w:p w14:paraId="3C8234DE" w14:textId="642C1EA8" w:rsidR="00855B9C" w:rsidRPr="00167F98" w:rsidRDefault="00E46A28" w:rsidP="00957768">
            <w:pPr>
              <w:pStyle w:val="StandardDEEN"/>
              <w:spacing w:before="0"/>
              <w:rPr>
                <w:szCs w:val="24"/>
                <w:lang w:val="en-US"/>
              </w:rPr>
            </w:pPr>
            <w:r>
              <w:rPr>
                <w:szCs w:val="24"/>
                <w:lang w:val="en-GB"/>
              </w:rPr>
              <w:br/>
            </w:r>
            <w:r w:rsidR="001954AE" w:rsidRPr="00167F98">
              <w:rPr>
                <w:szCs w:val="24"/>
                <w:lang w:val="en-GB"/>
              </w:rPr>
              <w:t xml:space="preserve">The individual quality requirements result from the respective technical documents to the order, particularly from the accompanying technical specifications, customer-specific requirements, technical documentation, drawings, terms and conditions of delivery, customer requirements specifications, internal and externals forms, samples, </w:t>
            </w:r>
            <w:r w:rsidR="002A5D54" w:rsidRPr="00167F98">
              <w:rPr>
                <w:szCs w:val="24"/>
                <w:lang w:val="en-GB"/>
              </w:rPr>
              <w:t xml:space="preserve">applicable </w:t>
            </w:r>
            <w:r w:rsidR="001954AE" w:rsidRPr="00167F98">
              <w:rPr>
                <w:szCs w:val="24"/>
                <w:lang w:val="en-GB"/>
              </w:rPr>
              <w:t xml:space="preserve">statutory and official requirements etc. </w:t>
            </w:r>
            <w:r w:rsidR="001954AE" w:rsidRPr="00167F98">
              <w:rPr>
                <w:szCs w:val="24"/>
                <w:lang w:val="en-US"/>
              </w:rPr>
              <w:t xml:space="preserve">The Supplier </w:t>
            </w:r>
            <w:r w:rsidR="002A5D54" w:rsidRPr="00167F98">
              <w:rPr>
                <w:szCs w:val="24"/>
                <w:lang w:val="en-US"/>
              </w:rPr>
              <w:t xml:space="preserve">always receives </w:t>
            </w:r>
            <w:r w:rsidR="001954AE" w:rsidRPr="00167F98">
              <w:rPr>
                <w:szCs w:val="24"/>
                <w:lang w:val="en-US"/>
              </w:rPr>
              <w:t>the latest technical documents in printed and data form</w:t>
            </w:r>
            <w:r w:rsidR="00B868BA" w:rsidRPr="00167F98">
              <w:rPr>
                <w:szCs w:val="24"/>
                <w:lang w:val="en-US"/>
              </w:rPr>
              <w:t xml:space="preserve"> b</w:t>
            </w:r>
            <w:r w:rsidR="00831BE4" w:rsidRPr="00167F98">
              <w:rPr>
                <w:szCs w:val="24"/>
                <w:lang w:val="en-US"/>
              </w:rPr>
              <w:t>y</w:t>
            </w:r>
            <w:r w:rsidR="00B868BA" w:rsidRPr="00167F98">
              <w:rPr>
                <w:szCs w:val="24"/>
                <w:lang w:val="en-US"/>
              </w:rPr>
              <w:t xml:space="preserve"> </w:t>
            </w:r>
            <w:r w:rsidR="00E55643" w:rsidRPr="00167F98">
              <w:rPr>
                <w:szCs w:val="24"/>
                <w:lang w:val="en-US"/>
              </w:rPr>
              <w:t xml:space="preserve">KAYSER.  </w:t>
            </w:r>
            <w:r w:rsidR="00831BE4" w:rsidRPr="00167F98">
              <w:rPr>
                <w:szCs w:val="24"/>
                <w:lang w:val="en-US"/>
              </w:rPr>
              <w:t xml:space="preserve">In case the Supplier does not receive the necessary information to fulfil contractual duties, he is obliged to request the latter on its own account. </w:t>
            </w:r>
          </w:p>
          <w:p w14:paraId="6A32FA18" w14:textId="707611A4" w:rsidR="00855B9C" w:rsidRPr="00167F98" w:rsidRDefault="00E46A28" w:rsidP="005C29F4">
            <w:pPr>
              <w:pStyle w:val="StandardDEEN"/>
              <w:rPr>
                <w:szCs w:val="24"/>
                <w:u w:val="single"/>
                <w:lang w:val="en-GB"/>
              </w:rPr>
            </w:pPr>
            <w:r>
              <w:rPr>
                <w:szCs w:val="24"/>
                <w:lang w:val="en-GB"/>
              </w:rPr>
              <w:br/>
            </w:r>
            <w:r w:rsidR="00855B9C" w:rsidRPr="00167F98">
              <w:rPr>
                <w:szCs w:val="24"/>
                <w:lang w:val="en-GB"/>
              </w:rPr>
              <w:t xml:space="preserve">OEM Customer Specific Requirements (CSR) can be downloaded from the IATF website at the following link: </w:t>
            </w:r>
            <w:r w:rsidR="00855B9C">
              <w:fldChar w:fldCharType="begin"/>
            </w:r>
            <w:r w:rsidR="00855B9C" w:rsidRPr="00473277">
              <w:rPr>
                <w:lang w:val="en-US"/>
              </w:rPr>
              <w:instrText>HYPERLINK "https://www.iatfglobaloversight.org/oem-requirements/customer-specific-requirements/"</w:instrText>
            </w:r>
            <w:r w:rsidR="00855B9C">
              <w:fldChar w:fldCharType="separate"/>
            </w:r>
            <w:r w:rsidR="00855B9C" w:rsidRPr="00167F98">
              <w:rPr>
                <w:rStyle w:val="Hyperlink"/>
                <w:color w:val="auto"/>
                <w:szCs w:val="24"/>
                <w:lang w:val="en-GB"/>
              </w:rPr>
              <w:t>https://www.iatfglobaloversight.org/oem-requirements/customer-specific-requirements/</w:t>
            </w:r>
            <w:r w:rsidR="00855B9C">
              <w:fldChar w:fldCharType="end"/>
            </w:r>
          </w:p>
          <w:p w14:paraId="40B15591" w14:textId="7C8FADE5" w:rsidR="001954AE" w:rsidRPr="00167F98" w:rsidRDefault="00E46A28" w:rsidP="005C29F4">
            <w:pPr>
              <w:pStyle w:val="StandardDEEN"/>
              <w:rPr>
                <w:szCs w:val="24"/>
                <w:lang w:val="en-GB"/>
              </w:rPr>
            </w:pPr>
            <w:r>
              <w:rPr>
                <w:szCs w:val="24"/>
                <w:lang w:val="en-GB"/>
              </w:rPr>
              <w:br/>
            </w:r>
            <w:r w:rsidR="001954AE" w:rsidRPr="00167F98">
              <w:rPr>
                <w:szCs w:val="24"/>
                <w:lang w:val="en-GB"/>
              </w:rPr>
              <w:t>Furthermore, the Supplier is obliged to ensure that all correct requirements are reflected in the entire supply chain</w:t>
            </w:r>
            <w:r w:rsidR="0067557A" w:rsidRPr="00167F98">
              <w:rPr>
                <w:szCs w:val="24"/>
                <w:lang w:val="en-GB"/>
              </w:rPr>
              <w:t>.</w:t>
            </w:r>
          </w:p>
          <w:p w14:paraId="3AC1D955" w14:textId="77777777" w:rsidR="00B66316" w:rsidRPr="00167F98" w:rsidRDefault="001954AE" w:rsidP="00957768">
            <w:pPr>
              <w:pStyle w:val="StandardDEEN"/>
              <w:rPr>
                <w:lang w:val="en-GB"/>
              </w:rPr>
            </w:pPr>
            <w:r w:rsidRPr="00167F98">
              <w:rPr>
                <w:szCs w:val="24"/>
                <w:lang w:val="en-GB"/>
              </w:rPr>
              <w:t>The Supplier is obliged to ensure that production is implemented and tested in accordance with these jointly agreed documents available to it.</w:t>
            </w:r>
          </w:p>
        </w:tc>
      </w:tr>
      <w:tr w:rsidR="00695123" w:rsidRPr="00473277" w14:paraId="4DFE727E" w14:textId="77777777" w:rsidTr="003437CA">
        <w:tc>
          <w:tcPr>
            <w:tcW w:w="4992" w:type="dxa"/>
            <w:tcBorders>
              <w:top w:val="nil"/>
              <w:left w:val="nil"/>
              <w:bottom w:val="nil"/>
              <w:right w:val="nil"/>
            </w:tcBorders>
          </w:tcPr>
          <w:p w14:paraId="65A1C934" w14:textId="77777777" w:rsidR="00B66316" w:rsidRPr="00695123" w:rsidRDefault="00B66316" w:rsidP="00B7318F">
            <w:pPr>
              <w:pStyle w:val="berschrift1"/>
              <w:numPr>
                <w:ilvl w:val="0"/>
                <w:numId w:val="0"/>
              </w:numPr>
              <w:ind w:left="510" w:hanging="510"/>
            </w:pPr>
            <w:bookmarkStart w:id="12" w:name="_Toc492627342"/>
            <w:bookmarkStart w:id="13" w:name="_Toc492643807"/>
            <w:r w:rsidRPr="00695123">
              <w:t>§ 3. Allgemeine Anforderungen an das Qualitätsmanagementsystem</w:t>
            </w:r>
            <w:bookmarkEnd w:id="12"/>
            <w:bookmarkEnd w:id="13"/>
          </w:p>
          <w:p w14:paraId="0AB0C528" w14:textId="7DC0BF97" w:rsidR="007F24C8" w:rsidRPr="00695123" w:rsidRDefault="00B66316" w:rsidP="007F24C8">
            <w:pPr>
              <w:pStyle w:val="StandardDEEN"/>
            </w:pPr>
            <w:r w:rsidRPr="00695123">
              <w:t>Der Lieferant wird seine Leistungen unter Anwendung eines Qualitätsmanage</w:t>
            </w:r>
            <w:r w:rsidR="00624768" w:rsidRPr="00695123">
              <w:t>mentsystems entsprechend den IA</w:t>
            </w:r>
            <w:r w:rsidRPr="00695123">
              <w:t>T</w:t>
            </w:r>
            <w:r w:rsidR="00624768" w:rsidRPr="00695123">
              <w:t>F</w:t>
            </w:r>
            <w:r w:rsidRPr="00695123">
              <w:t xml:space="preserve"> 16949 oder VDA 6.1, mindestens aber nach DIN ISO 9001:2015 ff </w:t>
            </w:r>
            <w:r w:rsidR="009C5E83" w:rsidRPr="00695123">
              <w:t xml:space="preserve">und </w:t>
            </w:r>
            <w:r w:rsidR="007F24C8" w:rsidRPr="00695123">
              <w:t>bestätigend</w:t>
            </w:r>
            <w:r w:rsidR="009C5E83" w:rsidRPr="00695123">
              <w:t xml:space="preserve">, dass die Minimum Automotive Quality Management Systems </w:t>
            </w:r>
            <w:proofErr w:type="spellStart"/>
            <w:r w:rsidR="009C5E83" w:rsidRPr="00695123">
              <w:t>Requirements</w:t>
            </w:r>
            <w:proofErr w:type="spellEnd"/>
            <w:r w:rsidR="009C5E83" w:rsidRPr="00695123">
              <w:t xml:space="preserve"> (MAQMSR) erfüllt werden, </w:t>
            </w:r>
            <w:r w:rsidRPr="00695123">
              <w:t xml:space="preserve">erbringen und dieses System ständig dem Stand </w:t>
            </w:r>
            <w:r w:rsidR="006522B8" w:rsidRPr="00695123">
              <w:t>von Wissenschaft und</w:t>
            </w:r>
            <w:r w:rsidRPr="00695123">
              <w:t xml:space="preserve"> Technik </w:t>
            </w:r>
            <w:r w:rsidR="009A0D21" w:rsidRPr="00695123">
              <w:t xml:space="preserve">entsprechend </w:t>
            </w:r>
            <w:r w:rsidRPr="00695123">
              <w:t>weiterentwickeln.</w:t>
            </w:r>
            <w:r w:rsidR="00BE3399" w:rsidRPr="00695123">
              <w:t xml:space="preserve"> Wird dem Lieferant sein Zertifikat entzogen oder verändert </w:t>
            </w:r>
            <w:r w:rsidR="00D22AEB" w:rsidRPr="00695123">
              <w:t>sich</w:t>
            </w:r>
            <w:r w:rsidR="00BE3399" w:rsidRPr="00695123">
              <w:t xml:space="preserve"> der </w:t>
            </w:r>
            <w:r w:rsidR="0067557A" w:rsidRPr="00695123">
              <w:t>Geltungsbereich</w:t>
            </w:r>
            <w:r w:rsidR="00944792" w:rsidRPr="00695123">
              <w:t xml:space="preserve"> </w:t>
            </w:r>
            <w:r w:rsidR="00BE3399" w:rsidRPr="00695123">
              <w:t>seines Zertifikates, muss er</w:t>
            </w:r>
            <w:r w:rsidR="00BC2D36" w:rsidRPr="00695123">
              <w:t xml:space="preserve"> den</w:t>
            </w:r>
            <w:r w:rsidR="00BE3399" w:rsidRPr="00695123">
              <w:t xml:space="preserve"> KAYSER</w:t>
            </w:r>
            <w:r w:rsidR="00BC2D36" w:rsidRPr="00695123">
              <w:t xml:space="preserve"> </w:t>
            </w:r>
            <w:proofErr w:type="gramStart"/>
            <w:r w:rsidR="00BC2D36" w:rsidRPr="00695123">
              <w:t xml:space="preserve">Einkauf </w:t>
            </w:r>
            <w:r w:rsidR="00BE3399" w:rsidRPr="00695123">
              <w:t xml:space="preserve"> unverzüglich</w:t>
            </w:r>
            <w:proofErr w:type="gramEnd"/>
            <w:r w:rsidR="00BE3399" w:rsidRPr="00695123">
              <w:t xml:space="preserve"> darüber schriftlich in Kenntnis setzen.</w:t>
            </w:r>
          </w:p>
          <w:p w14:paraId="3A884D46" w14:textId="77777777" w:rsidR="007F24C8" w:rsidRPr="00695123" w:rsidRDefault="007F24C8" w:rsidP="007F24C8">
            <w:pPr>
              <w:pStyle w:val="StandardDEEN"/>
            </w:pPr>
            <w:r w:rsidRPr="00695123">
              <w:t xml:space="preserve">Die MAQMSR werden von der IATF, z.B. unter </w:t>
            </w:r>
            <w:hyperlink r:id="rId12" w:history="1">
              <w:r w:rsidRPr="00695123">
                <w:rPr>
                  <w:rStyle w:val="Hyperlink"/>
                  <w:color w:val="auto"/>
                </w:rPr>
                <w:t>https://www.iatfglobaloversight.org/wp/wp-content/uploads/2016/12/Minimum-Automotive-Quality-Management-System-Requirements-for-Sub-tier-suppliers-2nd-Ed.pdf</w:t>
              </w:r>
            </w:hyperlink>
            <w:r w:rsidRPr="00695123">
              <w:t xml:space="preserve"> zur Verfügung gestellt.</w:t>
            </w:r>
          </w:p>
          <w:p w14:paraId="1BF507B5" w14:textId="77777777" w:rsidR="00B66316" w:rsidRPr="00695123" w:rsidRDefault="00B66316" w:rsidP="0067557A">
            <w:pPr>
              <w:pStyle w:val="StandardDEEN"/>
            </w:pPr>
            <w:r w:rsidRPr="00695123">
              <w:t>Darüber hinaus ist der Lieferant dazu verpflichtet, seine Vorlieferanten vertraglich in sein Qualitätsmanagementsystem einzubeziehen</w:t>
            </w:r>
            <w:r w:rsidR="00BE3399" w:rsidRPr="00695123">
              <w:t>,</w:t>
            </w:r>
            <w:r w:rsidRPr="00695123">
              <w:t xml:space="preserve"> </w:t>
            </w:r>
            <w:r w:rsidR="00BE3399" w:rsidRPr="00695123">
              <w:t xml:space="preserve">die Anforderungen dieser Vereinbarung an seinen Lieferanten weiterzuleiten </w:t>
            </w:r>
            <w:r w:rsidR="0067557A" w:rsidRPr="00695123">
              <w:t xml:space="preserve">und </w:t>
            </w:r>
            <w:r w:rsidRPr="00695123">
              <w:t>selbst die Qualität der Vorlieferungen zu sichern. KAYSER kann vom Lieferanten dokumentierte Nachweise verlangen, dass der Lieferant sich von der Wirksamkeit des Qualitätsmanagementsystems bei seinen Unterlieferanten überzeugt hat.</w:t>
            </w:r>
          </w:p>
          <w:p w14:paraId="1A0943AF" w14:textId="4934083E" w:rsidR="007E3CBB" w:rsidRPr="00695123" w:rsidRDefault="007E3CBB" w:rsidP="0067557A">
            <w:pPr>
              <w:pStyle w:val="StandardDEEN"/>
            </w:pPr>
            <w:r w:rsidRPr="00695123">
              <w:t xml:space="preserve">Generell gilt für alle Zertifikate, dass der Lieferant unaufgefordert neue bzw. verlängerte Zertifikate unter </w:t>
            </w:r>
            <w:hyperlink r:id="rId13" w:tgtFrame="_blank" w:tooltip="https://lm24.prego-services.de/" w:history="1">
              <w:r w:rsidRPr="00695123">
                <w:rPr>
                  <w:rStyle w:val="Hyperlink"/>
                  <w:color w:val="auto"/>
                </w:rPr>
                <w:t>https://lm24.prego-services.de</w:t>
              </w:r>
            </w:hyperlink>
            <w:r w:rsidRPr="00695123">
              <w:t xml:space="preserve"> hochzuladen hat.</w:t>
            </w:r>
          </w:p>
        </w:tc>
        <w:tc>
          <w:tcPr>
            <w:tcW w:w="4930" w:type="dxa"/>
            <w:tcBorders>
              <w:top w:val="nil"/>
              <w:left w:val="nil"/>
              <w:bottom w:val="nil"/>
              <w:right w:val="nil"/>
            </w:tcBorders>
          </w:tcPr>
          <w:p w14:paraId="70764E76" w14:textId="77777777" w:rsidR="001954AE" w:rsidRPr="00695123" w:rsidRDefault="001954AE" w:rsidP="00B7318F">
            <w:pPr>
              <w:pStyle w:val="berschriftEN1"/>
              <w:numPr>
                <w:ilvl w:val="0"/>
                <w:numId w:val="0"/>
              </w:numPr>
              <w:ind w:left="567" w:hanging="567"/>
              <w:rPr>
                <w:lang w:val="en-US"/>
              </w:rPr>
            </w:pPr>
            <w:bookmarkStart w:id="14" w:name="_Toc492550463"/>
            <w:bookmarkStart w:id="15" w:name="_Toc492643808"/>
            <w:r w:rsidRPr="00695123">
              <w:rPr>
                <w:lang w:val="en-US"/>
              </w:rPr>
              <w:t>§ 3. General requirements placed on the Quality Management System</w:t>
            </w:r>
            <w:bookmarkEnd w:id="14"/>
            <w:bookmarkEnd w:id="15"/>
            <w:r w:rsidRPr="00695123">
              <w:rPr>
                <w:lang w:val="en-US"/>
              </w:rPr>
              <w:t xml:space="preserve"> </w:t>
            </w:r>
          </w:p>
          <w:p w14:paraId="59DC12F5" w14:textId="468CB5BE" w:rsidR="007F24C8" w:rsidRPr="00695123" w:rsidRDefault="001954AE" w:rsidP="005C29F4">
            <w:pPr>
              <w:pStyle w:val="StandardDEEN"/>
              <w:rPr>
                <w:szCs w:val="24"/>
                <w:lang w:val="en-GB"/>
              </w:rPr>
            </w:pPr>
            <w:r w:rsidRPr="00695123">
              <w:rPr>
                <w:szCs w:val="24"/>
                <w:lang w:val="en-GB"/>
              </w:rPr>
              <w:t>The Supplier shall provide its services on the basis of a quality manageme</w:t>
            </w:r>
            <w:r w:rsidR="009C5E83" w:rsidRPr="00695123">
              <w:rPr>
                <w:szCs w:val="24"/>
                <w:lang w:val="en-GB"/>
              </w:rPr>
              <w:t>nt system in accordance with IA</w:t>
            </w:r>
            <w:r w:rsidRPr="00695123">
              <w:rPr>
                <w:szCs w:val="24"/>
                <w:lang w:val="en-GB"/>
              </w:rPr>
              <w:t>T</w:t>
            </w:r>
            <w:r w:rsidR="009C5E83" w:rsidRPr="00695123">
              <w:rPr>
                <w:szCs w:val="24"/>
                <w:lang w:val="en-GB"/>
              </w:rPr>
              <w:t>F</w:t>
            </w:r>
            <w:r w:rsidRPr="00695123">
              <w:rPr>
                <w:szCs w:val="24"/>
                <w:lang w:val="en-GB"/>
              </w:rPr>
              <w:t xml:space="preserve"> 16949 or VDA 6.1, and at least in accordance with DIN ISO 9001:2015 ff.</w:t>
            </w:r>
            <w:r w:rsidR="009C5E83" w:rsidRPr="00695123">
              <w:rPr>
                <w:szCs w:val="24"/>
                <w:lang w:val="en-GB"/>
              </w:rPr>
              <w:t xml:space="preserve"> confirming that the Minimum Automotive Quality Management Systems Requirements (MAQMSR) are </w:t>
            </w:r>
            <w:proofErr w:type="gramStart"/>
            <w:r w:rsidR="009C5E83" w:rsidRPr="00695123">
              <w:rPr>
                <w:szCs w:val="24"/>
                <w:lang w:val="en-GB"/>
              </w:rPr>
              <w:t>fulfilled</w:t>
            </w:r>
            <w:r w:rsidRPr="00695123">
              <w:rPr>
                <w:szCs w:val="24"/>
                <w:lang w:val="en-GB"/>
              </w:rPr>
              <w:t>, and</w:t>
            </w:r>
            <w:proofErr w:type="gramEnd"/>
            <w:r w:rsidRPr="00695123">
              <w:rPr>
                <w:szCs w:val="24"/>
                <w:lang w:val="en-GB"/>
              </w:rPr>
              <w:t xml:space="preserve"> shall continuously further develop this system in line with the state of the art</w:t>
            </w:r>
            <w:r w:rsidR="006522B8" w:rsidRPr="00695123">
              <w:rPr>
                <w:szCs w:val="24"/>
                <w:lang w:val="en-GB"/>
              </w:rPr>
              <w:t xml:space="preserve"> </w:t>
            </w:r>
            <w:r w:rsidR="00913DDB" w:rsidRPr="00695123">
              <w:rPr>
                <w:szCs w:val="24"/>
                <w:lang w:val="en-GB"/>
              </w:rPr>
              <w:t>in</w:t>
            </w:r>
            <w:r w:rsidR="006522B8" w:rsidRPr="00695123">
              <w:rPr>
                <w:szCs w:val="24"/>
                <w:lang w:val="en-GB"/>
              </w:rPr>
              <w:t xml:space="preserve"> science</w:t>
            </w:r>
            <w:r w:rsidR="00913DDB" w:rsidRPr="00695123">
              <w:rPr>
                <w:szCs w:val="24"/>
                <w:lang w:val="en-GB"/>
              </w:rPr>
              <w:t xml:space="preserve"> and technology</w:t>
            </w:r>
            <w:r w:rsidRPr="00695123">
              <w:rPr>
                <w:szCs w:val="24"/>
                <w:lang w:val="en-GB"/>
              </w:rPr>
              <w:t>.</w:t>
            </w:r>
            <w:r w:rsidR="007F24C8" w:rsidRPr="00695123">
              <w:rPr>
                <w:szCs w:val="24"/>
                <w:lang w:val="en-GB"/>
              </w:rPr>
              <w:t xml:space="preserve"> </w:t>
            </w:r>
            <w:r w:rsidR="00CB77A7" w:rsidRPr="00695123">
              <w:rPr>
                <w:szCs w:val="24"/>
                <w:lang w:val="en-GB"/>
              </w:rPr>
              <w:t>If Supplier's certificate is withdrawn or if the scope of its certificate is changed, the supplier must inform KAYSER</w:t>
            </w:r>
            <w:r w:rsidR="00BC2D36" w:rsidRPr="00695123">
              <w:rPr>
                <w:szCs w:val="24"/>
                <w:lang w:val="en-GB"/>
              </w:rPr>
              <w:t xml:space="preserve"> purchasing</w:t>
            </w:r>
            <w:r w:rsidR="00CB77A7" w:rsidRPr="00695123">
              <w:rPr>
                <w:szCs w:val="24"/>
                <w:lang w:val="en-GB"/>
              </w:rPr>
              <w:t xml:space="preserve"> immediately in written form.</w:t>
            </w:r>
            <w:r w:rsidR="00E46A28" w:rsidRPr="00695123">
              <w:rPr>
                <w:szCs w:val="24"/>
                <w:lang w:val="en-GB"/>
              </w:rPr>
              <w:br/>
            </w:r>
            <w:r w:rsidR="00E46A28" w:rsidRPr="00695123">
              <w:rPr>
                <w:szCs w:val="24"/>
                <w:lang w:val="en-GB"/>
              </w:rPr>
              <w:br/>
            </w:r>
            <w:r w:rsidR="007F24C8" w:rsidRPr="00695123">
              <w:rPr>
                <w:szCs w:val="24"/>
                <w:lang w:val="en-GB"/>
              </w:rPr>
              <w:t xml:space="preserve">The MAQMSR are provided by the IATF, e.g. via </w:t>
            </w:r>
            <w:r w:rsidR="007F24C8">
              <w:fldChar w:fldCharType="begin"/>
            </w:r>
            <w:r w:rsidR="007F24C8" w:rsidRPr="00473277">
              <w:rPr>
                <w:lang w:val="en-US"/>
              </w:rPr>
              <w:instrText>HYPERLINK "https://www.iatfglobaloversight.org/wp/wp-content/uploads/2016/12/Minimum-Automotive-Quality-Management-System-Requirements-for-Sub-tier-suppliers-2nd-Ed.pdf"</w:instrText>
            </w:r>
            <w:r w:rsidR="007F24C8">
              <w:fldChar w:fldCharType="separate"/>
            </w:r>
            <w:r w:rsidR="007F24C8" w:rsidRPr="00695123">
              <w:rPr>
                <w:rStyle w:val="Hyperlink"/>
                <w:color w:val="auto"/>
                <w:szCs w:val="24"/>
                <w:lang w:val="en-GB"/>
              </w:rPr>
              <w:t>https://www.iatfglobaloversight.org/wp/wp-content/uploads/2016/12/Minimum-Automotive-Quality-Management-System-Requirements-for-Sub-tier-suppliers-2nd-Ed.pdf</w:t>
            </w:r>
            <w:r w:rsidR="007F24C8">
              <w:fldChar w:fldCharType="end"/>
            </w:r>
            <w:r w:rsidR="007F24C8" w:rsidRPr="00695123">
              <w:rPr>
                <w:szCs w:val="24"/>
                <w:lang w:val="en-GB"/>
              </w:rPr>
              <w:t xml:space="preserve">. </w:t>
            </w:r>
          </w:p>
          <w:p w14:paraId="5341B826" w14:textId="77777777" w:rsidR="00B66316" w:rsidRPr="00695123" w:rsidRDefault="001954AE" w:rsidP="001B0DB6">
            <w:pPr>
              <w:pStyle w:val="StandardDEEN"/>
              <w:rPr>
                <w:szCs w:val="24"/>
                <w:lang w:val="en-US"/>
              </w:rPr>
            </w:pPr>
            <w:r w:rsidRPr="00695123">
              <w:rPr>
                <w:szCs w:val="24"/>
                <w:lang w:val="en-GB"/>
              </w:rPr>
              <w:t xml:space="preserve">In addition, the Supplier is obliged </w:t>
            </w:r>
            <w:r w:rsidR="003755DA" w:rsidRPr="00695123">
              <w:rPr>
                <w:szCs w:val="24"/>
                <w:lang w:val="en-GB"/>
              </w:rPr>
              <w:t>to contractually incorporate its</w:t>
            </w:r>
            <w:r w:rsidRPr="00695123">
              <w:rPr>
                <w:szCs w:val="24"/>
                <w:lang w:val="en-GB"/>
              </w:rPr>
              <w:t xml:space="preserve"> suppliers in its quality management system</w:t>
            </w:r>
            <w:r w:rsidR="00CB77A7" w:rsidRPr="00695123">
              <w:rPr>
                <w:szCs w:val="24"/>
                <w:lang w:val="en-GB"/>
              </w:rPr>
              <w:t>, t</w:t>
            </w:r>
            <w:r w:rsidR="003755DA" w:rsidRPr="00695123">
              <w:rPr>
                <w:szCs w:val="24"/>
                <w:lang w:val="en-GB"/>
              </w:rPr>
              <w:t xml:space="preserve">o submit the requirements of this </w:t>
            </w:r>
            <w:proofErr w:type="spellStart"/>
            <w:r w:rsidR="003755DA" w:rsidRPr="00695123">
              <w:rPr>
                <w:szCs w:val="24"/>
                <w:lang w:val="en-GB"/>
              </w:rPr>
              <w:t>agremment</w:t>
            </w:r>
            <w:proofErr w:type="spellEnd"/>
            <w:r w:rsidR="003755DA" w:rsidRPr="00695123">
              <w:rPr>
                <w:szCs w:val="24"/>
                <w:lang w:val="en-GB"/>
              </w:rPr>
              <w:t xml:space="preserve"> to</w:t>
            </w:r>
            <w:r w:rsidR="00CB77A7" w:rsidRPr="00695123">
              <w:rPr>
                <w:szCs w:val="24"/>
                <w:lang w:val="en-GB"/>
              </w:rPr>
              <w:t xml:space="preserve"> </w:t>
            </w:r>
            <w:r w:rsidR="003755DA" w:rsidRPr="00695123">
              <w:rPr>
                <w:szCs w:val="24"/>
                <w:lang w:val="en-GB"/>
              </w:rPr>
              <w:t xml:space="preserve">the </w:t>
            </w:r>
            <w:r w:rsidR="00CB77A7" w:rsidRPr="00695123">
              <w:rPr>
                <w:szCs w:val="24"/>
                <w:lang w:val="en-GB"/>
              </w:rPr>
              <w:t>supplier</w:t>
            </w:r>
            <w:r w:rsidR="003755DA" w:rsidRPr="00695123">
              <w:rPr>
                <w:szCs w:val="24"/>
                <w:lang w:val="en-GB"/>
              </w:rPr>
              <w:t>s</w:t>
            </w:r>
            <w:r w:rsidRPr="00695123">
              <w:rPr>
                <w:szCs w:val="24"/>
                <w:lang w:val="en-GB"/>
              </w:rPr>
              <w:t xml:space="preserve"> </w:t>
            </w:r>
            <w:r w:rsidR="001B0DB6" w:rsidRPr="00695123">
              <w:rPr>
                <w:szCs w:val="24"/>
                <w:lang w:val="en-GB"/>
              </w:rPr>
              <w:t>and</w:t>
            </w:r>
            <w:r w:rsidRPr="00695123">
              <w:rPr>
                <w:szCs w:val="24"/>
                <w:lang w:val="en-GB"/>
              </w:rPr>
              <w:t xml:space="preserve"> to ensure the quality of the deliveries from its suppliers itself. </w:t>
            </w:r>
            <w:r w:rsidRPr="00695123">
              <w:rPr>
                <w:szCs w:val="24"/>
                <w:lang w:val="en-US"/>
              </w:rPr>
              <w:t>KAYSER may request documented evidence from the Supplier that the Supplier has convinced itself of the efficacy of the quality management system amongst its sub-suppliers.</w:t>
            </w:r>
          </w:p>
          <w:p w14:paraId="6AD023E8" w14:textId="079A962D" w:rsidR="0049306A" w:rsidRPr="00695123" w:rsidRDefault="00E46A28" w:rsidP="001B0DB6">
            <w:pPr>
              <w:pStyle w:val="StandardDEEN"/>
              <w:rPr>
                <w:lang w:val="en-US"/>
              </w:rPr>
            </w:pPr>
            <w:r w:rsidRPr="00695123">
              <w:rPr>
                <w:lang w:val="en-US"/>
              </w:rPr>
              <w:br/>
            </w:r>
            <w:r w:rsidR="0049306A" w:rsidRPr="00695123">
              <w:rPr>
                <w:lang w:val="en-US"/>
              </w:rPr>
              <w:t>The general rule for all certificates is that the supplier must upload new or renewed certificates to https://lm24.prego-services.de without being requested to do so.</w:t>
            </w:r>
          </w:p>
        </w:tc>
      </w:tr>
      <w:tr w:rsidR="00EC64E3" w:rsidRPr="00473277" w14:paraId="3E63B67F" w14:textId="77777777" w:rsidTr="003437CA">
        <w:tc>
          <w:tcPr>
            <w:tcW w:w="4992" w:type="dxa"/>
            <w:tcBorders>
              <w:top w:val="nil"/>
              <w:left w:val="nil"/>
              <w:bottom w:val="nil"/>
              <w:right w:val="nil"/>
            </w:tcBorders>
          </w:tcPr>
          <w:p w14:paraId="49290035" w14:textId="77777777" w:rsidR="00EC64E3" w:rsidRPr="00695123" w:rsidRDefault="00EC64E3" w:rsidP="00EC64E3">
            <w:pPr>
              <w:pStyle w:val="berschrift1"/>
              <w:numPr>
                <w:ilvl w:val="0"/>
                <w:numId w:val="0"/>
              </w:numPr>
              <w:ind w:left="510" w:hanging="510"/>
            </w:pPr>
            <w:bookmarkStart w:id="16" w:name="_Toc492627343"/>
            <w:bookmarkStart w:id="17" w:name="_Toc492643809"/>
            <w:r w:rsidRPr="00695123">
              <w:t>§ 4. Produktionsprozess- und Produktfreigabe (PPF)</w:t>
            </w:r>
            <w:bookmarkEnd w:id="16"/>
            <w:bookmarkEnd w:id="17"/>
          </w:p>
          <w:p w14:paraId="44F9BBE2" w14:textId="77777777" w:rsidR="00EC64E3" w:rsidRPr="00695123" w:rsidRDefault="00EC64E3" w:rsidP="00EC64E3">
            <w:pPr>
              <w:pStyle w:val="StandardDEEN"/>
            </w:pPr>
            <w:r w:rsidRPr="00695123">
              <w:t xml:space="preserve">Der Lieferant ist dazu verpflichtet, vor der ersten Lieferung von Serienteilen eine Erstbemusterung gemäß </w:t>
            </w:r>
            <w:proofErr w:type="gramStart"/>
            <w:r w:rsidRPr="00695123">
              <w:t>VDA Band</w:t>
            </w:r>
            <w:proofErr w:type="gramEnd"/>
            <w:r w:rsidRPr="00695123">
              <w:t xml:space="preserve"> 2 oder PPAP (Level 3) durchzuführen, sofern nicht anders vereinbart. Der </w:t>
            </w:r>
            <w:proofErr w:type="spellStart"/>
            <w:r w:rsidRPr="00695123">
              <w:t>Bemusterungsumpfang</w:t>
            </w:r>
            <w:proofErr w:type="spellEnd"/>
            <w:r w:rsidRPr="00695123">
              <w:t xml:space="preserve"> oder Vorlagestufe ist mit KAYSER vor der Bemusterung abzustimmen. Das Bemusterungsabstimmungsgespräch ist durch den Lieferanten vorab einzureichen und wird durch Kayser ergänzt. Mindestanforderung in der Checkliste Zukaufteile beschrieben</w:t>
            </w:r>
          </w:p>
          <w:p w14:paraId="3BA9A3A5" w14:textId="0C7226EF" w:rsidR="00EC64E3" w:rsidRPr="00695123" w:rsidRDefault="00EC64E3" w:rsidP="00EC64E3">
            <w:pPr>
              <w:pStyle w:val="StandardDEEN"/>
            </w:pPr>
            <w:r w:rsidRPr="00695123">
              <w:t xml:space="preserve">Wenn zum Zeitpunkt der ersten Serienlieferung keine Freigabe vorliegt, muss durch den Lieferanten vor Lieferung der Teile ein Antrag </w:t>
            </w:r>
            <w:proofErr w:type="gramStart"/>
            <w:r w:rsidRPr="00695123">
              <w:t xml:space="preserve">auf  </w:t>
            </w:r>
            <w:proofErr w:type="spellStart"/>
            <w:r w:rsidRPr="00695123">
              <w:t>Abweichgenehmigung</w:t>
            </w:r>
            <w:proofErr w:type="spellEnd"/>
            <w:proofErr w:type="gramEnd"/>
            <w:r w:rsidRPr="00695123">
              <w:t xml:space="preserve"> gestellt</w:t>
            </w:r>
            <w:r w:rsidR="00A40121" w:rsidRPr="00695123">
              <w:t>, und durch Kayser genehmigt</w:t>
            </w:r>
            <w:r w:rsidRPr="00695123">
              <w:t xml:space="preserve"> werden.</w:t>
            </w:r>
          </w:p>
          <w:p w14:paraId="75F7C2E9" w14:textId="77777777" w:rsidR="00EC64E3" w:rsidRPr="00695123" w:rsidRDefault="00EC64E3" w:rsidP="00EC64E3">
            <w:pPr>
              <w:pStyle w:val="StandardDEEN"/>
            </w:pPr>
            <w:r w:rsidRPr="00695123">
              <w:t>Eine fehlende, fehlerhafte, unvollständige oder verspätete Erstmusterdokumentation kann zur Reklamation und Belastung der entstandenen Folgekosten führen.</w:t>
            </w:r>
          </w:p>
          <w:p w14:paraId="0A8E281C" w14:textId="77777777" w:rsidR="00EC64E3" w:rsidRPr="00695123" w:rsidRDefault="00EC64E3" w:rsidP="00B7318F">
            <w:pPr>
              <w:pStyle w:val="berschrift1"/>
              <w:numPr>
                <w:ilvl w:val="0"/>
                <w:numId w:val="0"/>
              </w:numPr>
              <w:ind w:left="510" w:hanging="510"/>
            </w:pPr>
          </w:p>
          <w:p w14:paraId="035988BC" w14:textId="77777777" w:rsidR="00D36EC3" w:rsidRPr="00695123" w:rsidRDefault="00D36EC3" w:rsidP="00D36EC3"/>
        </w:tc>
        <w:tc>
          <w:tcPr>
            <w:tcW w:w="4930" w:type="dxa"/>
            <w:tcBorders>
              <w:top w:val="nil"/>
              <w:left w:val="nil"/>
              <w:bottom w:val="nil"/>
              <w:right w:val="nil"/>
            </w:tcBorders>
          </w:tcPr>
          <w:p w14:paraId="5B1B0339" w14:textId="77777777" w:rsidR="00EC64E3" w:rsidRPr="00695123" w:rsidRDefault="00EC64E3" w:rsidP="00EC64E3">
            <w:pPr>
              <w:pStyle w:val="berschriftEN1"/>
              <w:numPr>
                <w:ilvl w:val="0"/>
                <w:numId w:val="0"/>
              </w:numPr>
              <w:ind w:left="567" w:hanging="567"/>
              <w:rPr>
                <w:lang w:val="en-US"/>
              </w:rPr>
            </w:pPr>
            <w:bookmarkStart w:id="18" w:name="_Toc492550464"/>
            <w:bookmarkStart w:id="19" w:name="_Toc492643810"/>
            <w:r w:rsidRPr="00695123">
              <w:rPr>
                <w:lang w:val="en-US"/>
              </w:rPr>
              <w:t>§ 4. Production process and product approval (PPF)</w:t>
            </w:r>
            <w:bookmarkEnd w:id="18"/>
            <w:bookmarkEnd w:id="19"/>
          </w:p>
          <w:p w14:paraId="55856820" w14:textId="667F6B75" w:rsidR="00EC64E3" w:rsidRPr="00695123" w:rsidRDefault="00EC64E3" w:rsidP="00EC64E3">
            <w:pPr>
              <w:pStyle w:val="StandardDEEN"/>
              <w:rPr>
                <w:lang w:val="en-GB"/>
              </w:rPr>
            </w:pPr>
            <w:r w:rsidRPr="00695123">
              <w:rPr>
                <w:lang w:val="en-US"/>
              </w:rPr>
              <w:t xml:space="preserve">The supplier is obliged to conduct initial sampling in accordance with VDA Volume 2 or PPAP (level 3) before the first delivery of series parts if nothing to the contrary has been agreed. The submission level </w:t>
            </w:r>
            <w:r w:rsidRPr="00695123">
              <w:rPr>
                <w:lang w:val="en-GB"/>
              </w:rPr>
              <w:t>is to be agreed with KAYSER before sampling. The sample approval meeting must be submitted by the supplier in advance and will be supplemented by Kayser. Minimum requirement described in the checklist for purchased parts</w:t>
            </w:r>
          </w:p>
          <w:p w14:paraId="79F86F2F" w14:textId="0A8B9DC2" w:rsidR="00EC64E3" w:rsidRPr="00695123" w:rsidRDefault="00EC64E3" w:rsidP="00EC64E3">
            <w:pPr>
              <w:pStyle w:val="StandardDEEN"/>
              <w:rPr>
                <w:lang w:val="en-GB"/>
              </w:rPr>
            </w:pPr>
            <w:r w:rsidRPr="00695123">
              <w:rPr>
                <w:lang w:val="en-GB"/>
              </w:rPr>
              <w:br/>
              <w:t xml:space="preserve">If no approval has been given on the date of the first series delivery, a request for a </w:t>
            </w:r>
            <w:r w:rsidR="00C2749B" w:rsidRPr="00695123">
              <w:rPr>
                <w:lang w:val="en-GB"/>
              </w:rPr>
              <w:t>deviation</w:t>
            </w:r>
            <w:r w:rsidRPr="00695123">
              <w:rPr>
                <w:lang w:val="en-GB"/>
              </w:rPr>
              <w:t xml:space="preserve"> approval must be created by the supplier</w:t>
            </w:r>
            <w:r w:rsidR="00A40121" w:rsidRPr="00695123">
              <w:rPr>
                <w:lang w:val="en-GB"/>
              </w:rPr>
              <w:t xml:space="preserve"> and approved by Kayser</w:t>
            </w:r>
            <w:r w:rsidRPr="00695123">
              <w:rPr>
                <w:lang w:val="en-GB"/>
              </w:rPr>
              <w:t xml:space="preserve"> before the parts are delivered.</w:t>
            </w:r>
          </w:p>
          <w:p w14:paraId="4ACE5CED" w14:textId="77777777" w:rsidR="00EC64E3" w:rsidRPr="00695123" w:rsidRDefault="00EC64E3" w:rsidP="00EC64E3">
            <w:pPr>
              <w:pStyle w:val="StandardDEEN"/>
              <w:rPr>
                <w:lang w:val="en-GB"/>
              </w:rPr>
            </w:pPr>
            <w:r w:rsidRPr="00695123">
              <w:rPr>
                <w:lang w:val="en-GB"/>
              </w:rPr>
              <w:t>Missing, incorrect, incomplete or late initial sample documentation can lead to a complaint and the subsequent costs incurred being charged.</w:t>
            </w:r>
          </w:p>
          <w:p w14:paraId="1CDF5244" w14:textId="77777777" w:rsidR="00EC64E3" w:rsidRPr="00695123" w:rsidRDefault="00EC64E3" w:rsidP="00B7318F">
            <w:pPr>
              <w:pStyle w:val="berschriftEN1"/>
              <w:numPr>
                <w:ilvl w:val="0"/>
                <w:numId w:val="0"/>
              </w:numPr>
              <w:ind w:left="567" w:hanging="567"/>
              <w:rPr>
                <w:lang w:val="en-GB"/>
              </w:rPr>
            </w:pPr>
          </w:p>
        </w:tc>
      </w:tr>
      <w:tr w:rsidR="00695123" w:rsidRPr="00473277" w14:paraId="5EACAACA" w14:textId="77777777" w:rsidTr="003437CA">
        <w:tc>
          <w:tcPr>
            <w:tcW w:w="4992" w:type="dxa"/>
            <w:tcBorders>
              <w:top w:val="nil"/>
              <w:left w:val="nil"/>
              <w:bottom w:val="nil"/>
              <w:right w:val="nil"/>
            </w:tcBorders>
          </w:tcPr>
          <w:p w14:paraId="126E1A1A" w14:textId="4E72C40B" w:rsidR="006E603A" w:rsidRPr="00695123" w:rsidRDefault="006E603A" w:rsidP="006E603A">
            <w:pPr>
              <w:pStyle w:val="berschrift1"/>
              <w:numPr>
                <w:ilvl w:val="0"/>
                <w:numId w:val="0"/>
              </w:numPr>
              <w:ind w:left="510" w:hanging="510"/>
              <w:rPr>
                <w:b w:val="0"/>
                <w:bCs/>
              </w:rPr>
            </w:pPr>
            <w:r w:rsidRPr="00695123">
              <w:t xml:space="preserve">§ </w:t>
            </w:r>
            <w:r w:rsidR="007B6681" w:rsidRPr="00695123">
              <w:t>5</w:t>
            </w:r>
            <w:r w:rsidRPr="00695123">
              <w:t>. Herstellbarkeitsanalyse</w:t>
            </w:r>
          </w:p>
          <w:p w14:paraId="48953AC0" w14:textId="49FC5FCC" w:rsidR="006E603A" w:rsidRPr="00695123" w:rsidRDefault="006E603A" w:rsidP="006E603A">
            <w:pPr>
              <w:pStyle w:val="StandardDEEN"/>
            </w:pPr>
            <w:r w:rsidRPr="00695123">
              <w:t>Das Ziel ist eine beiderseitig bestätigte Herstellbarkeitsanalyse, die stets eine Voraussetzung für eine mögliche Auftragsvergabe darstellt. Der Lieferant muss sich umfassend über Funktion, Anforderungen, Risiken, Verwendungszweck, Einbausituation, Montierbarkeit, Schnittstellen, Missbrauch, Folgeprozesse, Oberflächenbehandlung,</w:t>
            </w:r>
            <w:r w:rsidR="00923B41" w:rsidRPr="00695123">
              <w:t xml:space="preserve"> Einsatzmärkte (gesetzliche Anforderungen)</w:t>
            </w:r>
            <w:r w:rsidRPr="00695123">
              <w:t xml:space="preserve"> kundenspezifische Anforderungen und notwendige Dokumente (z.B. Zeichnungen, Spezifikationen, Kayser-Normen, Kayser Werkzeug- und Prozessdatenblätter usw.) informieren, um die uneingeschränkte und prozesssichere Herstellbarkeit über den gesamten Produktionszeitraum sicherzustellen.</w:t>
            </w:r>
          </w:p>
          <w:p w14:paraId="1FFBC034" w14:textId="02DE173E" w:rsidR="006E603A" w:rsidRPr="00695123" w:rsidRDefault="006E603A" w:rsidP="006E603A">
            <w:pPr>
              <w:pStyle w:val="StandardDEEN"/>
            </w:pPr>
            <w:r w:rsidRPr="00695123">
              <w:t xml:space="preserve">Der Lieferant ist verpflichtet, den Herstellbarkeitsanalyse-Prozess von Kayser auf Basis der zur Anfrage gültigen Zeichnungen und Spezifikationen durchzuführen und diese Angaben zu bestätigen. Die Anforderungen aus der Herstellbarkeitsanalyse müssen bis zum Produktionsanlauf umgesetzt und die festgelegten Vereinbarungen </w:t>
            </w:r>
            <w:r w:rsidR="007826CD" w:rsidRPr="00695123">
              <w:t>uneingeschränkt</w:t>
            </w:r>
            <w:r w:rsidRPr="00695123">
              <w:t xml:space="preserve"> eingehalten werden.</w:t>
            </w:r>
          </w:p>
          <w:p w14:paraId="18094650" w14:textId="77777777" w:rsidR="006E603A" w:rsidRPr="00695123" w:rsidRDefault="006E603A" w:rsidP="006E603A">
            <w:pPr>
              <w:pStyle w:val="StandardDEEN"/>
            </w:pPr>
            <w:r w:rsidRPr="00695123">
              <w:t>Die Einhaltung der Anforderungen aus der Herstellbarkeitsanalyse entbindet den Lieferanten nicht von seiner Verpflichtung zur Lieferung mangelfreier Ware.</w:t>
            </w:r>
          </w:p>
          <w:p w14:paraId="36DB201D" w14:textId="77777777" w:rsidR="006E603A" w:rsidRPr="00695123" w:rsidRDefault="006E603A" w:rsidP="006E603A">
            <w:pPr>
              <w:pStyle w:val="StandardDEEN"/>
            </w:pPr>
            <w:r w:rsidRPr="00695123">
              <w:t>Entwicklung von Produkten und Dienstleistungen</w:t>
            </w:r>
          </w:p>
          <w:p w14:paraId="574384FD" w14:textId="0151388F" w:rsidR="006E603A" w:rsidRPr="00695123" w:rsidRDefault="006E603A" w:rsidP="006E603A">
            <w:pPr>
              <w:pStyle w:val="StandardDEEN"/>
            </w:pPr>
            <w:r w:rsidRPr="00695123">
              <w:t xml:space="preserve">Wenn der Auftrag an den Lieferanten Entwicklungsaufgaben umfasst, werden die Anforderungen durch die Vertragspartner schriftlich festgelegt, z.B. in Form eines Lastenheftes. Der Lieferant verpflichtet sich, ein funktionierendes Projektmanagement bereits in der Planungsphase von Produkten, Abläufen und anderen bereichsübergreifenden Aufgaben zu betreiben. Dieses ist in Qualitätsmanagement-Plänen (Produktentstehungsprozess) zu dokumentieren und mit Kayser abzustimmen. </w:t>
            </w:r>
          </w:p>
        </w:tc>
        <w:tc>
          <w:tcPr>
            <w:tcW w:w="4930" w:type="dxa"/>
            <w:tcBorders>
              <w:top w:val="nil"/>
              <w:left w:val="nil"/>
              <w:bottom w:val="nil"/>
              <w:right w:val="nil"/>
            </w:tcBorders>
          </w:tcPr>
          <w:p w14:paraId="1490ADC6" w14:textId="3595E885" w:rsidR="00D11171" w:rsidRPr="00695123" w:rsidRDefault="00D11171" w:rsidP="00D11171">
            <w:pPr>
              <w:pStyle w:val="berschrift1"/>
              <w:numPr>
                <w:ilvl w:val="0"/>
                <w:numId w:val="0"/>
              </w:numPr>
              <w:ind w:left="510" w:hanging="510"/>
              <w:rPr>
                <w:lang w:val="en-US"/>
              </w:rPr>
            </w:pPr>
            <w:r w:rsidRPr="00695123">
              <w:rPr>
                <w:lang w:val="en-US"/>
              </w:rPr>
              <w:t xml:space="preserve">§ </w:t>
            </w:r>
            <w:r w:rsidR="00102CA2" w:rsidRPr="00695123">
              <w:rPr>
                <w:lang w:val="en-US"/>
              </w:rPr>
              <w:t>5</w:t>
            </w:r>
            <w:r w:rsidRPr="00695123">
              <w:rPr>
                <w:lang w:val="en-US"/>
              </w:rPr>
              <w:t>. Feasibility study</w:t>
            </w:r>
          </w:p>
          <w:p w14:paraId="3D0AEED0" w14:textId="2778ED03" w:rsidR="00D11171" w:rsidRPr="00695123" w:rsidRDefault="00D11171" w:rsidP="00D11171">
            <w:pPr>
              <w:pStyle w:val="StandardDEEN"/>
              <w:rPr>
                <w:lang w:val="en-US"/>
              </w:rPr>
            </w:pPr>
            <w:r w:rsidRPr="00695123">
              <w:rPr>
                <w:lang w:val="en-US"/>
              </w:rPr>
              <w:t xml:space="preserve">The aim is a mutually confirmed feasibility study, which is always a prerequisite for a possible award of contract. The supplier must obtain comprehensive information about the function, requirements, risks, intended use, installation situation, </w:t>
            </w:r>
            <w:proofErr w:type="spellStart"/>
            <w:r w:rsidRPr="00695123">
              <w:rPr>
                <w:lang w:val="en-US"/>
              </w:rPr>
              <w:t>mountability</w:t>
            </w:r>
            <w:proofErr w:type="spellEnd"/>
            <w:r w:rsidRPr="00695123">
              <w:rPr>
                <w:lang w:val="en-US"/>
              </w:rPr>
              <w:t>, interfaces, misuse, subsequent processes, surface treatment,</w:t>
            </w:r>
            <w:r w:rsidR="00923B41" w:rsidRPr="00695123">
              <w:rPr>
                <w:lang w:val="en-US"/>
              </w:rPr>
              <w:t xml:space="preserve"> Markets of use (legal requirements),</w:t>
            </w:r>
            <w:r w:rsidRPr="00695123">
              <w:rPr>
                <w:lang w:val="en-US"/>
              </w:rPr>
              <w:t xml:space="preserve"> customer-specific requirements and necessary documents (e.g. drawings, specifications, Kayser standards, Kayser tool and process data sheets, etc.) in order to ensure unrestricted and process-reliable manufacturability over the entire production period.</w:t>
            </w:r>
          </w:p>
          <w:p w14:paraId="677871A9" w14:textId="77777777" w:rsidR="00D11171" w:rsidRPr="00695123" w:rsidRDefault="00D11171" w:rsidP="00D11171">
            <w:pPr>
              <w:pStyle w:val="StandardDEEN"/>
              <w:rPr>
                <w:lang w:val="en-US"/>
              </w:rPr>
            </w:pPr>
          </w:p>
          <w:p w14:paraId="25032D56" w14:textId="63F74B22" w:rsidR="00D11171" w:rsidRPr="00695123" w:rsidRDefault="00D11171" w:rsidP="00D11171">
            <w:pPr>
              <w:pStyle w:val="StandardDEEN"/>
              <w:rPr>
                <w:lang w:val="en-GB"/>
              </w:rPr>
            </w:pPr>
            <w:r w:rsidRPr="00695123">
              <w:rPr>
                <w:lang w:val="en-US"/>
              </w:rPr>
              <w:t xml:space="preserve">The supplier is obliged to carry out Kayser's feasibility study process </w:t>
            </w:r>
            <w:proofErr w:type="gramStart"/>
            <w:r w:rsidRPr="00695123">
              <w:rPr>
                <w:lang w:val="en-US"/>
              </w:rPr>
              <w:t>on the basis of</w:t>
            </w:r>
            <w:proofErr w:type="gramEnd"/>
            <w:r w:rsidRPr="00695123">
              <w:rPr>
                <w:lang w:val="en-US"/>
              </w:rPr>
              <w:t xml:space="preserve"> the drawings and specifications valid at the time of the inquiry and to confirm this information. The requirements from the producibility analysis must be implemented by the </w:t>
            </w:r>
            <w:r w:rsidRPr="00695123">
              <w:rPr>
                <w:lang w:val="en-GB"/>
              </w:rPr>
              <w:t xml:space="preserve">start of production and the specified agreements must be </w:t>
            </w:r>
            <w:r w:rsidR="007826CD" w:rsidRPr="00695123">
              <w:rPr>
                <w:lang w:val="en-GB"/>
              </w:rPr>
              <w:t>fully complied with</w:t>
            </w:r>
            <w:r w:rsidRPr="00695123">
              <w:rPr>
                <w:lang w:val="en-GB"/>
              </w:rPr>
              <w:t>.</w:t>
            </w:r>
          </w:p>
          <w:p w14:paraId="0D8D1E54" w14:textId="77777777" w:rsidR="00D11171" w:rsidRPr="00695123" w:rsidRDefault="00D11171" w:rsidP="00D11171">
            <w:pPr>
              <w:pStyle w:val="StandardDEEN"/>
              <w:rPr>
                <w:lang w:val="en-GB"/>
              </w:rPr>
            </w:pPr>
            <w:r w:rsidRPr="00695123">
              <w:rPr>
                <w:lang w:val="en-GB"/>
              </w:rPr>
              <w:t>Compliance with the requirements from the producibility analysis does not release the supplier from its obligation to deliver defect-free goods.</w:t>
            </w:r>
          </w:p>
          <w:p w14:paraId="79D13037" w14:textId="77777777" w:rsidR="00D11171" w:rsidRPr="00695123" w:rsidRDefault="00D11171" w:rsidP="00D11171">
            <w:pPr>
              <w:pStyle w:val="StandardDEEN"/>
              <w:rPr>
                <w:lang w:val="en-GB"/>
              </w:rPr>
            </w:pPr>
            <w:r w:rsidRPr="00695123">
              <w:rPr>
                <w:lang w:val="en-GB"/>
              </w:rPr>
              <w:br/>
              <w:t>Development of products and services</w:t>
            </w:r>
          </w:p>
          <w:p w14:paraId="6933948E" w14:textId="77777777" w:rsidR="00D11171" w:rsidRPr="00695123" w:rsidRDefault="00D11171" w:rsidP="00D11171">
            <w:pPr>
              <w:pStyle w:val="StandardDEEN"/>
              <w:rPr>
                <w:lang w:val="en-GB"/>
              </w:rPr>
            </w:pPr>
            <w:r w:rsidRPr="00695123">
              <w:rPr>
                <w:lang w:val="en-GB"/>
              </w:rPr>
              <w:t>If the order to the supplier includes development tasks, the requirements are defined in writing by the contractual partners, e.g. in the form of a specification sheet. The supplier undertakes to operate a functioning project management system as early as the planning phase for products, processes and other cross-divisional tasks. This is to be documented in quality management plans (product development process) and agreed with Kayser.</w:t>
            </w:r>
          </w:p>
          <w:p w14:paraId="5451BC2B" w14:textId="7AD6FF0C" w:rsidR="006E603A" w:rsidRPr="00695123" w:rsidRDefault="006E603A" w:rsidP="00D11171">
            <w:pPr>
              <w:pStyle w:val="StandardDEEN"/>
              <w:rPr>
                <w:lang w:val="en-GB"/>
              </w:rPr>
            </w:pPr>
          </w:p>
        </w:tc>
      </w:tr>
      <w:tr w:rsidR="00695123" w:rsidRPr="00473277" w14:paraId="32F6EA78" w14:textId="77777777" w:rsidTr="003437CA">
        <w:tc>
          <w:tcPr>
            <w:tcW w:w="4992" w:type="dxa"/>
            <w:tcBorders>
              <w:top w:val="nil"/>
              <w:left w:val="nil"/>
              <w:bottom w:val="nil"/>
              <w:right w:val="nil"/>
            </w:tcBorders>
          </w:tcPr>
          <w:p w14:paraId="6BD5B2D9" w14:textId="7C93ED0A" w:rsidR="00944792" w:rsidRPr="00695123" w:rsidRDefault="00944792" w:rsidP="00944792">
            <w:pPr>
              <w:pStyle w:val="berschrift1"/>
              <w:numPr>
                <w:ilvl w:val="0"/>
                <w:numId w:val="0"/>
              </w:numPr>
              <w:ind w:left="510" w:hanging="510"/>
            </w:pPr>
            <w:r w:rsidRPr="00695123">
              <w:t xml:space="preserve">§ </w:t>
            </w:r>
            <w:r w:rsidR="00D66C15" w:rsidRPr="00695123">
              <w:t>6</w:t>
            </w:r>
            <w:r w:rsidRPr="00695123">
              <w:t xml:space="preserve">. </w:t>
            </w:r>
            <w:proofErr w:type="gramStart"/>
            <w:r w:rsidRPr="00695123">
              <w:t>APQP Qualitätsplanung</w:t>
            </w:r>
            <w:proofErr w:type="gramEnd"/>
          </w:p>
          <w:p w14:paraId="32BD4EB5" w14:textId="13DA09D1" w:rsidR="001E5A28" w:rsidRPr="00695123" w:rsidRDefault="00944792" w:rsidP="00944792">
            <w:pPr>
              <w:pStyle w:val="StandardDEEN"/>
            </w:pPr>
            <w:r w:rsidRPr="00695123">
              <w:br/>
              <w:t xml:space="preserve">Das Ziel von Kayser ist es, Lieferanten in einem möglichst frühen Stadium in die Qualitätsplanung eines neuen Projektes einzubeziehen. Kayser fordert grundsätzlich von seinen Lieferanten im Rahmen des Projektmanagements eine systematische Planung gemäß </w:t>
            </w:r>
            <w:proofErr w:type="gramStart"/>
            <w:r w:rsidRPr="00695123">
              <w:t>VDA Band</w:t>
            </w:r>
            <w:proofErr w:type="gramEnd"/>
            <w:r w:rsidRPr="00695123">
              <w:t xml:space="preserve"> „Reifegradabsicherung“ (Produktentstehung – Reifegradabsicherung für Neuteile) oder AIAG APQP, sofern Kayser nicht ein anderes Verfahren festlegt</w:t>
            </w:r>
            <w:r w:rsidR="00D808AE" w:rsidRPr="00695123">
              <w:t>.</w:t>
            </w:r>
            <w:r w:rsidR="00F64220" w:rsidRPr="00695123">
              <w:t xml:space="preserve"> </w:t>
            </w:r>
            <w:r w:rsidR="00D808AE" w:rsidRPr="00695123">
              <w:t xml:space="preserve">Verfahren und </w:t>
            </w:r>
            <w:r w:rsidR="00F64220" w:rsidRPr="00695123">
              <w:t>Umfang</w:t>
            </w:r>
            <w:r w:rsidR="00D808AE" w:rsidRPr="00695123">
              <w:t xml:space="preserve"> werden im B</w:t>
            </w:r>
            <w:r w:rsidR="00F64220" w:rsidRPr="00695123">
              <w:t>emusterungsabstimmungsgespräch</w:t>
            </w:r>
            <w:r w:rsidR="00D808AE" w:rsidRPr="00695123">
              <w:t xml:space="preserve"> abgestimmt.</w:t>
            </w:r>
            <w:r w:rsidR="00C969F2" w:rsidRPr="00695123">
              <w:t xml:space="preserve"> Der Lieferant stimmt dazu einen Termin mit Kayser (lieferantenmanagement@kayser-automotive.com) ab.</w:t>
            </w:r>
            <w:r w:rsidRPr="00695123">
              <w:t xml:space="preserve"> Diese Planung gilt sowohl für die vom Lieferanten hergestellten Produkte als auch dessen Zukaufteile. Der Projektverantwortliche und das Projektteam sind Kayser gegenüber zu benennen. Für das jeweilige Teil bzw. Projekt sind, sofern nicht anderweitig von Kayser festgelegt, sämtliche dieser Anforderungen verpflichtend. Rückmeldungen sind über entsprechende Formulare bereitzustellen, sofern nicht anderweitig von Kayser festgelegt.</w:t>
            </w:r>
            <w:r w:rsidRPr="00695123">
              <w:rPr>
                <w:b/>
                <w:bCs/>
              </w:rPr>
              <w:t xml:space="preserve"> </w:t>
            </w:r>
            <w:r w:rsidRPr="00695123">
              <w:t>Für Zwischenzeugnisse und Kaufteile des Lieferanten (Rohteile, Auswärtsbearbeitung, Zulieferer) ist ein Status zu erstellen, der die einzelnen Bewertungen zusammengefasst darstellt und kritische Positionen einzeln herausstellt. Projektspezifische Forderungen, die über die Inhalte dieser Qualitätsanforderung hinausgehen, werden gesondert zwischen Kayser und dem Lieferanten vereinbart.</w:t>
            </w:r>
          </w:p>
        </w:tc>
        <w:tc>
          <w:tcPr>
            <w:tcW w:w="4930" w:type="dxa"/>
            <w:tcBorders>
              <w:top w:val="nil"/>
              <w:left w:val="nil"/>
              <w:bottom w:val="nil"/>
              <w:right w:val="nil"/>
            </w:tcBorders>
          </w:tcPr>
          <w:p w14:paraId="2381506B" w14:textId="2EB7441C" w:rsidR="00944792" w:rsidRPr="00695123" w:rsidRDefault="00944792" w:rsidP="00944792">
            <w:pPr>
              <w:pStyle w:val="StandardDEEN"/>
              <w:rPr>
                <w:lang w:val="en-US"/>
              </w:rPr>
            </w:pPr>
            <w:r w:rsidRPr="00695123">
              <w:rPr>
                <w:rStyle w:val="berschrift1Zchn"/>
                <w:lang w:val="en-US"/>
              </w:rPr>
              <w:t xml:space="preserve">§ </w:t>
            </w:r>
            <w:r w:rsidR="00D66C15" w:rsidRPr="00695123">
              <w:rPr>
                <w:rStyle w:val="berschrift1Zchn"/>
                <w:lang w:val="en-US"/>
              </w:rPr>
              <w:t>6</w:t>
            </w:r>
            <w:r w:rsidRPr="00695123">
              <w:rPr>
                <w:rStyle w:val="berschrift1Zchn"/>
                <w:lang w:val="en-US"/>
              </w:rPr>
              <w:t>. APQP Advanced Product       Quality Planning</w:t>
            </w:r>
            <w:r w:rsidRPr="00695123">
              <w:rPr>
                <w:rStyle w:val="berschrift1Zchn"/>
                <w:lang w:val="en-US"/>
              </w:rPr>
              <w:br/>
            </w:r>
            <w:r w:rsidRPr="00695123">
              <w:rPr>
                <w:lang w:val="en-GB"/>
              </w:rPr>
              <w:br/>
              <w:t>Kayser</w:t>
            </w:r>
            <w:r w:rsidRPr="00695123">
              <w:rPr>
                <w:lang w:val="en-US"/>
              </w:rPr>
              <w:t>’s objective is to involve suppliers in quality planning for a new project at the earliest possible stage. Kayser always requires systematic planning from our suppliers in the context of project management according to VDA Volume Material Level Assurance (Product Creation – Maturity Level Assurance for New Parts), or AIAG APQP, provided Kayser does not stipulate another procedure.</w:t>
            </w:r>
            <w:r w:rsidR="002545A6" w:rsidRPr="00695123">
              <w:rPr>
                <w:lang w:val="en-US"/>
              </w:rPr>
              <w:t xml:space="preserve"> The procedure and scope are agreed in the </w:t>
            </w:r>
            <w:r w:rsidR="00B41DCE" w:rsidRPr="00695123">
              <w:rPr>
                <w:lang w:val="en-US"/>
              </w:rPr>
              <w:t>PPA agreement.</w:t>
            </w:r>
            <w:r w:rsidR="00C969F2" w:rsidRPr="00695123">
              <w:rPr>
                <w:lang w:val="en-US"/>
              </w:rPr>
              <w:t xml:space="preserve"> The supplier shall arrange an appointment with Kayser (lieferantenmanagement@kayser-automotive.com) for this purpose</w:t>
            </w:r>
            <w:r w:rsidR="00B41DCE" w:rsidRPr="00695123">
              <w:rPr>
                <w:lang w:val="en-US"/>
              </w:rPr>
              <w:t xml:space="preserve"> </w:t>
            </w:r>
            <w:r w:rsidRPr="00695123">
              <w:rPr>
                <w:lang w:val="en-US"/>
              </w:rPr>
              <w:t xml:space="preserve">This planning applies both to the parts made by the supplier as well as to the supplier’s purchased parts. Kayser shall be notified of the project manager and the project team. Unless otherwise specified by Kayser, </w:t>
            </w:r>
            <w:proofErr w:type="gramStart"/>
            <w:r w:rsidRPr="00695123">
              <w:rPr>
                <w:lang w:val="en-US"/>
              </w:rPr>
              <w:t>all of</w:t>
            </w:r>
            <w:proofErr w:type="gramEnd"/>
            <w:r w:rsidRPr="00695123">
              <w:rPr>
                <w:lang w:val="en-US"/>
              </w:rPr>
              <w:t xml:space="preserve"> these APQP requirements are mandatory for the respective part or project. Feedback shall be provided by standard documents, unless otherwise specified by Kayser. For parts produced and purchased by the supplier (raw materials, external processing, sub-suppliers), a status shall be drawn up which represents the individual evaluations in summary and puts emphasis on individual critical items. Project-specific requirements which go beyond the contents of this Quality Directive will be agreed between Kayser and the supplier.</w:t>
            </w:r>
          </w:p>
        </w:tc>
      </w:tr>
      <w:tr w:rsidR="00695123" w:rsidRPr="00473277" w14:paraId="2DA7441C" w14:textId="77777777" w:rsidTr="003437CA">
        <w:tc>
          <w:tcPr>
            <w:tcW w:w="4992" w:type="dxa"/>
            <w:tcBorders>
              <w:top w:val="nil"/>
              <w:left w:val="nil"/>
              <w:bottom w:val="nil"/>
              <w:right w:val="nil"/>
            </w:tcBorders>
          </w:tcPr>
          <w:p w14:paraId="045D3580" w14:textId="3EA9979B" w:rsidR="00857FDB" w:rsidRPr="00695123" w:rsidRDefault="00857FDB" w:rsidP="007B571F">
            <w:pPr>
              <w:pStyle w:val="berschrift1"/>
              <w:numPr>
                <w:ilvl w:val="0"/>
                <w:numId w:val="0"/>
              </w:numPr>
              <w:ind w:left="510" w:hanging="510"/>
            </w:pPr>
            <w:r w:rsidRPr="00695123">
              <w:t>§</w:t>
            </w:r>
            <w:r w:rsidR="00B25F3E" w:rsidRPr="00695123">
              <w:t xml:space="preserve"> 7.</w:t>
            </w:r>
            <w:r w:rsidRPr="00695123">
              <w:t xml:space="preserve"> Produkt- und Prozess-FMEA</w:t>
            </w:r>
          </w:p>
          <w:p w14:paraId="4597D075" w14:textId="77777777" w:rsidR="00857FDB" w:rsidRPr="00695123" w:rsidRDefault="00857FDB" w:rsidP="006E4C79">
            <w:pPr>
              <w:pStyle w:val="StandardDEEN"/>
            </w:pPr>
            <w:r w:rsidRPr="00695123">
              <w:t xml:space="preserve">Die Fehler-Möglichkeits- und Einfluss-Analyse (FMEA) ist zur Untersuchung möglicher Risiken und deren Bewertung hinsichtlich Schwere, Wahrscheinlichkeit des Auftretens und der Möglichkeit der Entdeckung durchzuführen. </w:t>
            </w:r>
          </w:p>
          <w:p w14:paraId="7744C58B" w14:textId="3090F5F8" w:rsidR="008423C3" w:rsidRPr="00695123" w:rsidRDefault="008423C3" w:rsidP="008423C3">
            <w:pPr>
              <w:pStyle w:val="StandardDEEN"/>
            </w:pPr>
            <w:r w:rsidRPr="00695123">
              <w:t>FMEA ist gemäß VDA_Band_AIAG_VDA_FMEA-Handbuch_1. Ausgabe 2019 durchzuführen</w:t>
            </w:r>
          </w:p>
          <w:p w14:paraId="7AC54C61" w14:textId="5F8A2B04" w:rsidR="008423C3" w:rsidRPr="00695123" w:rsidRDefault="008423C3" w:rsidP="006E4C79">
            <w:pPr>
              <w:pStyle w:val="StandardDEEN"/>
            </w:pPr>
            <w:r w:rsidRPr="00695123">
              <w:t xml:space="preserve">Zur Bemusterung ist eine Risikomatrix gemäß </w:t>
            </w:r>
            <w:proofErr w:type="gramStart"/>
            <w:r w:rsidRPr="00695123">
              <w:t>FMEA Handbuch</w:t>
            </w:r>
            <w:proofErr w:type="gramEnd"/>
            <w:r w:rsidRPr="00695123">
              <w:t xml:space="preserve"> 2019 vorzulegen, welche die Gesamtstruktur der FMEA unter Berücksichtigung der abgeschlossenen Maßnahmen berücksichtigt</w:t>
            </w:r>
          </w:p>
          <w:p w14:paraId="616360C7" w14:textId="77777777" w:rsidR="00857FDB" w:rsidRPr="00695123" w:rsidRDefault="00857FDB" w:rsidP="006E4C79">
            <w:pPr>
              <w:pStyle w:val="StandardDEEN"/>
            </w:pPr>
            <w:r w:rsidRPr="00695123">
              <w:t>Diese Risiken sind durch Einleitung von Maßnahmen zu minimieren.</w:t>
            </w:r>
          </w:p>
          <w:p w14:paraId="7859C550" w14:textId="77777777" w:rsidR="00857FDB" w:rsidRPr="00695123" w:rsidRDefault="00857FDB" w:rsidP="006E4C79">
            <w:pPr>
              <w:pStyle w:val="StandardDEEN"/>
            </w:pPr>
            <w:r w:rsidRPr="00695123">
              <w:t>Die FMEA ist damit ein wichtiges Mittel zur Fehlervermeidung. Die FMEA ist rechtzeitig durchzuführen, sodass Ergebnisse und Maßnahmen noch in die Planung einbezogen werden können.</w:t>
            </w:r>
          </w:p>
          <w:p w14:paraId="03BD9A11" w14:textId="77777777" w:rsidR="00857FDB" w:rsidRPr="00695123" w:rsidRDefault="00857FDB" w:rsidP="006E4C79">
            <w:pPr>
              <w:pStyle w:val="StandardDEEN"/>
            </w:pPr>
            <w:r w:rsidRPr="00695123">
              <w:t>Eine FMEA muss dabei alle Phasen des Produktlebenszyklus wie Konstruktion, Produktion, Montage, Verpackung, Transport, Nutzung durch den Kunden sowie Recycling und Entsorgung berücksichtigen.</w:t>
            </w:r>
          </w:p>
          <w:p w14:paraId="22010B75" w14:textId="77777777" w:rsidR="00857FDB" w:rsidRPr="00695123" w:rsidRDefault="00857FDB" w:rsidP="006E4C79">
            <w:pPr>
              <w:pStyle w:val="StandardDEEN"/>
            </w:pPr>
            <w:r w:rsidRPr="00695123">
              <w:t>Die FMEA ist als Werkzeug zur kontinuierlichen Verbesserung zu verwenden.</w:t>
            </w:r>
          </w:p>
          <w:p w14:paraId="23920ACD" w14:textId="77A6DBC5" w:rsidR="00857FDB" w:rsidRPr="00695123" w:rsidRDefault="00857FDB" w:rsidP="006E4C79">
            <w:pPr>
              <w:pStyle w:val="StandardDEEN"/>
            </w:pPr>
            <w:r w:rsidRPr="00695123">
              <w:t xml:space="preserve">FMEAs sind z. B. </w:t>
            </w:r>
            <w:proofErr w:type="gramStart"/>
            <w:r w:rsidRPr="00695123">
              <w:t>bei folgenden</w:t>
            </w:r>
            <w:proofErr w:type="gramEnd"/>
            <w:r w:rsidRPr="00695123">
              <w:t xml:space="preserve"> Anlässen zu erstellen bzw. zu überarbeiten:</w:t>
            </w:r>
          </w:p>
          <w:p w14:paraId="3445B785" w14:textId="61914AD4" w:rsidR="00857FDB" w:rsidRPr="00695123" w:rsidRDefault="00857FDB" w:rsidP="006E4C79">
            <w:pPr>
              <w:pStyle w:val="StandardDEEN"/>
            </w:pPr>
            <w:r w:rsidRPr="00695123">
              <w:t xml:space="preserve">Entwicklung/Produktion von Neuteilen, Einführung neuer Fertigungsverfahren, Standortverlagerungen, Zeichnungsänderungen, Prozessänderungen, Auftreten von Mängeln, </w:t>
            </w:r>
            <w:proofErr w:type="spellStart"/>
            <w:r w:rsidRPr="00695123">
              <w:t>Lessons</w:t>
            </w:r>
            <w:proofErr w:type="spellEnd"/>
            <w:r w:rsidRPr="00695123">
              <w:t xml:space="preserve"> </w:t>
            </w:r>
            <w:proofErr w:type="spellStart"/>
            <w:r w:rsidRPr="00695123">
              <w:t>Learned</w:t>
            </w:r>
            <w:proofErr w:type="spellEnd"/>
            <w:r w:rsidRPr="00695123">
              <w:t xml:space="preserve"> </w:t>
            </w:r>
          </w:p>
          <w:p w14:paraId="1CE48C4A" w14:textId="166AC499" w:rsidR="00857FDB" w:rsidRPr="00695123" w:rsidRDefault="00857FDB" w:rsidP="006E4C79">
            <w:pPr>
              <w:pStyle w:val="StandardDEEN"/>
            </w:pPr>
            <w:r w:rsidRPr="00695123">
              <w:t>Produkt-(Design-) FMEA Eine Produkt-FMEA ist für alle Bauteile durchzuführen, welche in Verantwortung des Lieferanten konstruiert werden. Auf Verlangen von Kayser ist die Produkt-FMEA Kayser vorzulegen.</w:t>
            </w:r>
          </w:p>
          <w:p w14:paraId="762CFCEE" w14:textId="37737C92" w:rsidR="00C91329" w:rsidRPr="00695123" w:rsidRDefault="003437CA" w:rsidP="006E4C79">
            <w:pPr>
              <w:pStyle w:val="StandardDEEN"/>
            </w:pPr>
            <w:r w:rsidRPr="00695123">
              <w:br/>
            </w:r>
            <w:r w:rsidR="00857FDB" w:rsidRPr="00695123">
              <w:t xml:space="preserve">Prozess-FMEA </w:t>
            </w:r>
          </w:p>
          <w:p w14:paraId="6AC7629A" w14:textId="4D2C6DFA" w:rsidR="00857FDB" w:rsidRPr="00695123" w:rsidRDefault="00857FDB" w:rsidP="006E4C79">
            <w:pPr>
              <w:pStyle w:val="StandardDEEN"/>
            </w:pPr>
            <w:r w:rsidRPr="00695123">
              <w:t xml:space="preserve">Für alle Prozessschritte eines Bauteils ist eine Prozess-FMEA durchzuführen. Besonders die Ergebnisse der Prozess FMEA sowie die besonderen Merkmale müssen als Basis für den Prüfplan berücksichtigt werden. Auf Verlangen von </w:t>
            </w:r>
            <w:r w:rsidR="00C91329" w:rsidRPr="00695123">
              <w:t>Kayser</w:t>
            </w:r>
            <w:r w:rsidRPr="00695123">
              <w:t xml:space="preserve"> ist die Prozess-FMEA </w:t>
            </w:r>
            <w:r w:rsidR="00C91329" w:rsidRPr="00695123">
              <w:t>Kayser</w:t>
            </w:r>
            <w:r w:rsidRPr="00695123">
              <w:t xml:space="preserve"> vorzulegen.</w:t>
            </w:r>
          </w:p>
          <w:p w14:paraId="29CD7F68" w14:textId="5FA3939F" w:rsidR="00C91329" w:rsidRPr="00695123" w:rsidRDefault="00C91329" w:rsidP="006E4C79">
            <w:pPr>
              <w:pStyle w:val="StandardDEEN"/>
            </w:pPr>
            <w:r w:rsidRPr="00695123">
              <w:t>Dabei sind folgende Punkte zu berücksichtigen:</w:t>
            </w:r>
          </w:p>
          <w:p w14:paraId="0FD3BD07" w14:textId="7A2FED16" w:rsidR="00C91329" w:rsidRPr="00695123" w:rsidRDefault="00C91329" w:rsidP="006E4C79">
            <w:pPr>
              <w:pStyle w:val="StandardDEEN"/>
            </w:pPr>
            <w:r w:rsidRPr="00695123">
              <w:t xml:space="preserve">Fehlersimulation entlang der FMEA (Produkt und Prozess): Nachdem die Entwicklung des Produktionsprozesses zur Serienreife abgeschlossen wurde, müssen die innerhalb der FMEA identifizierten Fehlermöglichkeiten in der Produktionsstätte simuliert werden. So soll überprüft werden, ob Fehler ordnungsgemäß erkannt werden. Weitere Fehlermöglichkeiten und sonstige potenzielle Fehlerursachen müssen identifiziert und in die FMEA integriert werden. </w:t>
            </w:r>
          </w:p>
          <w:p w14:paraId="22AA8BC5" w14:textId="77777777" w:rsidR="00C91329" w:rsidRPr="00695123" w:rsidRDefault="00C91329" w:rsidP="006E4C79">
            <w:pPr>
              <w:pStyle w:val="StandardDEEN"/>
            </w:pPr>
            <w:r w:rsidRPr="00695123">
              <w:t xml:space="preserve">Vertauschen von Material: Die komplette Prozesskette der Produktion, inklusive der Prozesse der Zulieferer, ist auf das Risikopotenzial der Materialvertauschung hin zu überprüfen. Alle notwendigen Maßnahmen sind zu ergreifen, um das Risiko eines Vertauschens von Material zu eliminieren (z. B. Einführung effizienter Sicherungssysteme). </w:t>
            </w:r>
          </w:p>
          <w:p w14:paraId="550E124B" w14:textId="77777777" w:rsidR="00C91329" w:rsidRPr="00695123" w:rsidRDefault="00C91329" w:rsidP="006E4C79">
            <w:pPr>
              <w:pStyle w:val="StandardDEEN"/>
            </w:pPr>
            <w:r w:rsidRPr="00695123">
              <w:t>Management von Teilevarianten: Es ist ein System zu implementieren, welches das Risiko eines Vertauschens ähnlich aussehender Teile verhindert.</w:t>
            </w:r>
          </w:p>
          <w:p w14:paraId="216AE554" w14:textId="6850119D" w:rsidR="00C91329" w:rsidRPr="00695123" w:rsidRDefault="00C91329" w:rsidP="006E4C79">
            <w:pPr>
              <w:pStyle w:val="StandardDEEN"/>
            </w:pPr>
            <w:r w:rsidRPr="00695123">
              <w:t xml:space="preserve">Kontrolle von Ausschussteilen, nachzuarbeitenden Teilen, Einstellteilen und Referenzteilen: Hierzu gehört insbesondere die Vermeidung einer Vermischung von fragwürdigen Teilen mit Gutteilen in besonderen Situationen wie Maschinenausfall, Maschinenstillstand und Neustart. </w:t>
            </w:r>
          </w:p>
          <w:p w14:paraId="56EEC5C0" w14:textId="02B6164F" w:rsidR="00C91329" w:rsidRPr="00695123" w:rsidRDefault="00C91329" w:rsidP="006E4C79">
            <w:pPr>
              <w:pStyle w:val="StandardDEEN"/>
            </w:pPr>
            <w:r w:rsidRPr="00695123">
              <w:t>Technische Sauberkeit: Technische Sauberkeit muss den spezifischen Anforderungen entsprechend in die FMEA aufgenommen werden. Hierbei sind auch die Zulieferer, Maschinenhersteller und Dienstleister einzubeziehen. Das Produkt und alle Prozesse sind so zu entwickeln, dass alle Anforderungen erfüllt werden</w:t>
            </w:r>
          </w:p>
          <w:p w14:paraId="0C1AF405" w14:textId="01D51E89" w:rsidR="00C91329" w:rsidRPr="00695123" w:rsidRDefault="003437CA" w:rsidP="006E4C79">
            <w:pPr>
              <w:pStyle w:val="StandardDEEN"/>
            </w:pPr>
            <w:r w:rsidRPr="00695123">
              <w:br/>
            </w:r>
            <w:r w:rsidR="00C91329" w:rsidRPr="00695123">
              <w:t>Umgehung/Überspringen des Prozesses: Es ist ein System zu entwickeln und umzusetzen, mit dem sichergestellt wird, dass jeder Prozessschritt nur beginnen kann, wenn der vorherige erfolgreich abgeschlossen wurde.</w:t>
            </w:r>
          </w:p>
          <w:p w14:paraId="2532690E" w14:textId="32C90145" w:rsidR="00C91329" w:rsidRPr="00695123" w:rsidRDefault="00C91329" w:rsidP="006E4C79">
            <w:pPr>
              <w:pStyle w:val="StandardDEEN"/>
            </w:pPr>
            <w:proofErr w:type="spellStart"/>
            <w:r w:rsidRPr="00695123">
              <w:t>Lessons</w:t>
            </w:r>
            <w:proofErr w:type="spellEnd"/>
            <w:r w:rsidRPr="00695123">
              <w:t xml:space="preserve"> </w:t>
            </w:r>
            <w:proofErr w:type="spellStart"/>
            <w:r w:rsidRPr="00695123">
              <w:t>Learned</w:t>
            </w:r>
            <w:proofErr w:type="spellEnd"/>
            <w:r w:rsidRPr="00695123">
              <w:t>: Alle aus ähnlichen Prozessen und Produkten gewonnenen Erkenntnisse (</w:t>
            </w:r>
            <w:proofErr w:type="spellStart"/>
            <w:r w:rsidRPr="00695123">
              <w:t>Lessons</w:t>
            </w:r>
            <w:proofErr w:type="spellEnd"/>
            <w:r w:rsidRPr="00695123">
              <w:t xml:space="preserve"> </w:t>
            </w:r>
            <w:proofErr w:type="spellStart"/>
            <w:r w:rsidRPr="00695123">
              <w:t>Learned</w:t>
            </w:r>
            <w:proofErr w:type="spellEnd"/>
            <w:r w:rsidRPr="00695123">
              <w:t xml:space="preserve">) sind bei dem neuen Projekt zu berücksichtigen. Unter anderem sind die Dokumentation der </w:t>
            </w:r>
            <w:proofErr w:type="spellStart"/>
            <w:r w:rsidRPr="00695123">
              <w:t>Lessons</w:t>
            </w:r>
            <w:proofErr w:type="spellEnd"/>
            <w:r w:rsidRPr="00695123">
              <w:t xml:space="preserve"> </w:t>
            </w:r>
            <w:proofErr w:type="spellStart"/>
            <w:r w:rsidRPr="00695123">
              <w:t>Learned</w:t>
            </w:r>
            <w:proofErr w:type="spellEnd"/>
            <w:r w:rsidRPr="00695123">
              <w:t xml:space="preserve">, die Dokumentation aller internen und externen Beanstandungen, die 8D-Berichte sowie die vorangegangenen FMEAs zu berücksichtigen. Auch </w:t>
            </w:r>
            <w:proofErr w:type="spellStart"/>
            <w:r w:rsidRPr="00695123">
              <w:t>Lessons</w:t>
            </w:r>
            <w:proofErr w:type="spellEnd"/>
            <w:r w:rsidRPr="00695123">
              <w:t xml:space="preserve"> </w:t>
            </w:r>
            <w:proofErr w:type="spellStart"/>
            <w:r w:rsidRPr="00695123">
              <w:t>Learned</w:t>
            </w:r>
            <w:proofErr w:type="spellEnd"/>
            <w:r w:rsidRPr="00695123">
              <w:t xml:space="preserve"> zu Problemen von Zulieferern sind zu berücksichtigen. </w:t>
            </w:r>
          </w:p>
          <w:p w14:paraId="45326797" w14:textId="77777777" w:rsidR="00772D16" w:rsidRPr="00695123" w:rsidRDefault="00C91329" w:rsidP="006E4C79">
            <w:pPr>
              <w:pStyle w:val="StandardDEEN"/>
            </w:pPr>
            <w:r w:rsidRPr="00695123">
              <w:t xml:space="preserve">Bewertung: Eine Bewertung des FMEA-Prozesses muss gemäß den internationalen Standards nach VDA &amp; AIAG durchgeführt werden. </w:t>
            </w:r>
          </w:p>
          <w:p w14:paraId="0E8FB078" w14:textId="70EE0495" w:rsidR="00C91329" w:rsidRPr="00695123" w:rsidRDefault="00C91329" w:rsidP="006E4C79">
            <w:pPr>
              <w:pStyle w:val="StandardDEEN"/>
            </w:pPr>
            <w:r w:rsidRPr="00695123">
              <w:t>Umsetzung der Maßnahmen</w:t>
            </w:r>
            <w:r w:rsidR="00772D16" w:rsidRPr="00695123">
              <w:t>:</w:t>
            </w:r>
            <w:r w:rsidRPr="00695123">
              <w:t xml:space="preserve"> Risiken, welche mit Hilfe einer FMEA </w:t>
            </w:r>
            <w:proofErr w:type="gramStart"/>
            <w:r w:rsidRPr="00695123">
              <w:t>offen gelegt</w:t>
            </w:r>
            <w:proofErr w:type="gramEnd"/>
            <w:r w:rsidRPr="00695123">
              <w:t xml:space="preserve"> werden, sind durch geeignete Maßnahmen zu minimieren. Zur Umsetzung der Maßnahmen sind Termine und Verantwortliche so zuzuweisen, dass die Maßnahmen vor dem Start der Produktion abgearbeitet werden können. Die eingeführten Maßnahmen sind hinsichtlich ihrer Wirksamkeit zu bewerten. </w:t>
            </w:r>
            <w:r w:rsidR="00BC69A9" w:rsidRPr="00695123">
              <w:t>Kayser</w:t>
            </w:r>
            <w:r w:rsidRPr="00695123">
              <w:t xml:space="preserve"> ist über notwendige konstruktive Änderungen umgehend zu i</w:t>
            </w:r>
            <w:r w:rsidR="00BC69A9" w:rsidRPr="00695123">
              <w:t>nformieren</w:t>
            </w:r>
          </w:p>
          <w:p w14:paraId="5F36B60D" w14:textId="77777777" w:rsidR="00064410" w:rsidRPr="00695123" w:rsidRDefault="002A2AD0" w:rsidP="002A2AD0">
            <w:pPr>
              <w:pStyle w:val="StandardDEEN"/>
            </w:pPr>
            <w:r w:rsidRPr="00695123">
              <w:t>Die in den FMEA festgelegten Maßnahmen sind über den Produktionslenkungs- und Prüfplan in der Produktion umzusetzen. Dabei muss die Durchgängigkeit der besonderen Merkmale gewährleistet sein.</w:t>
            </w:r>
          </w:p>
          <w:p w14:paraId="26535695" w14:textId="42A5EF48" w:rsidR="00FD56A8" w:rsidRPr="00695123" w:rsidRDefault="00FD56A8" w:rsidP="002A2AD0">
            <w:pPr>
              <w:pStyle w:val="StandardDEEN"/>
            </w:pPr>
            <w:r w:rsidRPr="00695123">
              <w:t>Zu jeder FMEA, müssen die Fehlerfolgen und Bedeutungen bekannt und abgestimmt sein. Der Lieferant hat sich unter Angabe der Materialnummer unter folgender Adresse nach einer DFMEA Ausleitung zu erkundigen: FMEA-Moderator@kayser-automotive.com</w:t>
            </w:r>
          </w:p>
        </w:tc>
        <w:tc>
          <w:tcPr>
            <w:tcW w:w="4930" w:type="dxa"/>
            <w:tcBorders>
              <w:top w:val="nil"/>
              <w:left w:val="nil"/>
              <w:bottom w:val="nil"/>
              <w:right w:val="nil"/>
            </w:tcBorders>
          </w:tcPr>
          <w:p w14:paraId="12B5FD87" w14:textId="1097A962" w:rsidR="00857FDB" w:rsidRPr="00695123" w:rsidRDefault="00857FDB" w:rsidP="003437CA">
            <w:pPr>
              <w:pStyle w:val="berschrift1"/>
              <w:numPr>
                <w:ilvl w:val="0"/>
                <w:numId w:val="0"/>
              </w:numPr>
              <w:rPr>
                <w:lang w:val="en-US"/>
              </w:rPr>
            </w:pPr>
            <w:r w:rsidRPr="00695123">
              <w:rPr>
                <w:lang w:val="en-US"/>
              </w:rPr>
              <w:t>§</w:t>
            </w:r>
            <w:r w:rsidR="00B25F3E" w:rsidRPr="00695123">
              <w:rPr>
                <w:lang w:val="en-US"/>
              </w:rPr>
              <w:t xml:space="preserve"> 7.</w:t>
            </w:r>
            <w:r w:rsidRPr="00695123">
              <w:rPr>
                <w:lang w:val="en-US"/>
              </w:rPr>
              <w:t xml:space="preserve"> Product and Process FMEA</w:t>
            </w:r>
          </w:p>
          <w:p w14:paraId="72D6C50E" w14:textId="3452977B" w:rsidR="00A142C2" w:rsidRPr="00695123" w:rsidRDefault="00EF2EE8" w:rsidP="007E4D00">
            <w:pPr>
              <w:pStyle w:val="StandardDEEN"/>
              <w:rPr>
                <w:lang w:val="en-US"/>
              </w:rPr>
            </w:pPr>
            <w:r w:rsidRPr="00695123">
              <w:rPr>
                <w:lang w:val="en-US"/>
              </w:rPr>
              <w:t xml:space="preserve">The Failure Mode &amp; Effects Analysis (FMEA) shall be carried out to examine possible risks and their evaluation regarding severity, probability of occurrence, and the possibility of detection. </w:t>
            </w:r>
          </w:p>
          <w:p w14:paraId="361B8EFA" w14:textId="77777777" w:rsidR="00A142C2" w:rsidRPr="00695123" w:rsidRDefault="00A142C2" w:rsidP="00A142C2">
            <w:pPr>
              <w:pStyle w:val="StandardDEEN"/>
              <w:rPr>
                <w:lang w:val="en-US"/>
              </w:rPr>
            </w:pPr>
            <w:r w:rsidRPr="00695123">
              <w:rPr>
                <w:lang w:val="en-US"/>
              </w:rPr>
              <w:t xml:space="preserve">FMEA must be carried out in accordance with VDA_Band_AIAG_VDA_FMEA-Handbuch_1. Edition 2019 </w:t>
            </w:r>
          </w:p>
          <w:p w14:paraId="67051EE0" w14:textId="77777777" w:rsidR="00B5252B" w:rsidRPr="00695123" w:rsidRDefault="00A142C2" w:rsidP="007E4D00">
            <w:pPr>
              <w:pStyle w:val="StandardDEEN"/>
              <w:rPr>
                <w:lang w:val="en-US"/>
              </w:rPr>
            </w:pPr>
            <w:r w:rsidRPr="00695123">
              <w:rPr>
                <w:lang w:val="en-US"/>
              </w:rPr>
              <w:t xml:space="preserve">A risk matrix must be submitted for sampling in accordance with the FMEA Manual 2019, which </w:t>
            </w:r>
            <w:proofErr w:type="gramStart"/>
            <w:r w:rsidRPr="00695123">
              <w:rPr>
                <w:lang w:val="en-US"/>
              </w:rPr>
              <w:t>takes into account</w:t>
            </w:r>
            <w:proofErr w:type="gramEnd"/>
            <w:r w:rsidRPr="00695123">
              <w:rPr>
                <w:lang w:val="en-US"/>
              </w:rPr>
              <w:t xml:space="preserve"> the overall structure of the FMEA and the completed measures</w:t>
            </w:r>
          </w:p>
          <w:p w14:paraId="1B3B2312" w14:textId="4A7E6824" w:rsidR="00FC34B1" w:rsidRPr="00695123" w:rsidRDefault="00EF2EE8" w:rsidP="007E4D00">
            <w:pPr>
              <w:pStyle w:val="StandardDEEN"/>
              <w:rPr>
                <w:lang w:val="en-US"/>
              </w:rPr>
            </w:pPr>
            <w:r w:rsidRPr="00695123">
              <w:rPr>
                <w:lang w:val="en-US"/>
              </w:rPr>
              <w:t xml:space="preserve">These risks shall be minimized by introducing appropriate measures. </w:t>
            </w:r>
          </w:p>
          <w:p w14:paraId="6261F95A" w14:textId="77777777" w:rsidR="00FC34B1" w:rsidRPr="00695123" w:rsidRDefault="00EF2EE8" w:rsidP="007E4D00">
            <w:pPr>
              <w:pStyle w:val="StandardDEEN"/>
              <w:rPr>
                <w:lang w:val="en-US"/>
              </w:rPr>
            </w:pPr>
            <w:r w:rsidRPr="00695123">
              <w:rPr>
                <w:lang w:val="en-US"/>
              </w:rPr>
              <w:t xml:space="preserve">The FMEA is thus an important instrument for preventing defects. The FMEA shall be carried out in a timely manner, so that the results and measures to be taken can still be incorporated into planning. </w:t>
            </w:r>
          </w:p>
          <w:p w14:paraId="3B8AC6A7" w14:textId="77777777" w:rsidR="00FC34B1" w:rsidRPr="00695123" w:rsidRDefault="00EF2EE8" w:rsidP="007E4D00">
            <w:pPr>
              <w:pStyle w:val="StandardDEEN"/>
              <w:rPr>
                <w:lang w:val="en-US"/>
              </w:rPr>
            </w:pPr>
            <w:r w:rsidRPr="00695123">
              <w:rPr>
                <w:lang w:val="en-US"/>
              </w:rPr>
              <w:t xml:space="preserve">A FMEA shall be used for all phases of the product life cycle, such as design, production, assembly, packaging, transport, customer usage, as well as recycling and waste disposal. </w:t>
            </w:r>
          </w:p>
          <w:p w14:paraId="0326DB58" w14:textId="5832FF28" w:rsidR="00FC34B1" w:rsidRPr="00695123" w:rsidRDefault="003437CA" w:rsidP="007E4D00">
            <w:pPr>
              <w:pStyle w:val="StandardDEEN"/>
              <w:rPr>
                <w:lang w:val="en-US"/>
              </w:rPr>
            </w:pPr>
            <w:r w:rsidRPr="00695123">
              <w:rPr>
                <w:lang w:val="en-US"/>
              </w:rPr>
              <w:br/>
            </w:r>
            <w:r w:rsidR="00EF2EE8" w:rsidRPr="00695123">
              <w:rPr>
                <w:lang w:val="en-US"/>
              </w:rPr>
              <w:t xml:space="preserve">The FMEA shall be used as a continuous improvement tool. </w:t>
            </w:r>
          </w:p>
          <w:p w14:paraId="20E9AEF6" w14:textId="77777777" w:rsidR="00E85E96" w:rsidRPr="00695123" w:rsidRDefault="00EF2EE8" w:rsidP="007E4D00">
            <w:pPr>
              <w:pStyle w:val="StandardDEEN"/>
              <w:rPr>
                <w:lang w:val="en-US"/>
              </w:rPr>
            </w:pPr>
            <w:r w:rsidRPr="00695123">
              <w:rPr>
                <w:lang w:val="en-US"/>
              </w:rPr>
              <w:t>FMEAs shall be developed and/or revised in the following cases, e. g.:</w:t>
            </w:r>
          </w:p>
          <w:p w14:paraId="1DCA51C6" w14:textId="547ED5D2" w:rsidR="00FC34B1" w:rsidRPr="00695123" w:rsidRDefault="00E85E96" w:rsidP="007E4D00">
            <w:pPr>
              <w:pStyle w:val="StandardDEEN"/>
              <w:rPr>
                <w:lang w:val="en-US"/>
              </w:rPr>
            </w:pPr>
            <w:r w:rsidRPr="00695123">
              <w:rPr>
                <w:lang w:val="en-US"/>
              </w:rPr>
              <w:t>D</w:t>
            </w:r>
            <w:r w:rsidR="00EF2EE8" w:rsidRPr="00695123">
              <w:rPr>
                <w:lang w:val="en-US"/>
              </w:rPr>
              <w:t>evelopment/production of new parts</w:t>
            </w:r>
            <w:r w:rsidR="00FC34B1" w:rsidRPr="00695123">
              <w:rPr>
                <w:lang w:val="en-US"/>
              </w:rPr>
              <w:t>,</w:t>
            </w:r>
            <w:r w:rsidR="00EF2EE8" w:rsidRPr="00695123">
              <w:rPr>
                <w:lang w:val="en-US"/>
              </w:rPr>
              <w:t xml:space="preserve"> introduction of new manufacturing methods</w:t>
            </w:r>
            <w:r w:rsidR="00FC34B1" w:rsidRPr="00695123">
              <w:rPr>
                <w:lang w:val="en-US"/>
              </w:rPr>
              <w:t>,</w:t>
            </w:r>
            <w:r w:rsidR="00EF2EE8" w:rsidRPr="00695123">
              <w:rPr>
                <w:lang w:val="en-US"/>
              </w:rPr>
              <w:t xml:space="preserve"> relocation of plants</w:t>
            </w:r>
            <w:r w:rsidR="00FC34B1" w:rsidRPr="00695123">
              <w:rPr>
                <w:lang w:val="en-US"/>
              </w:rPr>
              <w:t xml:space="preserve">, </w:t>
            </w:r>
            <w:r w:rsidR="00EF2EE8" w:rsidRPr="00695123">
              <w:rPr>
                <w:lang w:val="en-US"/>
              </w:rPr>
              <w:t>drawing changes</w:t>
            </w:r>
            <w:r w:rsidR="00FC34B1" w:rsidRPr="00695123">
              <w:rPr>
                <w:lang w:val="en-US"/>
              </w:rPr>
              <w:t xml:space="preserve">, </w:t>
            </w:r>
            <w:r w:rsidR="00EF2EE8" w:rsidRPr="00695123">
              <w:rPr>
                <w:lang w:val="en-US"/>
              </w:rPr>
              <w:t>process changes</w:t>
            </w:r>
            <w:r w:rsidR="00FC34B1" w:rsidRPr="00695123">
              <w:rPr>
                <w:lang w:val="en-US"/>
              </w:rPr>
              <w:t xml:space="preserve">, </w:t>
            </w:r>
            <w:r w:rsidR="00EF2EE8" w:rsidRPr="00695123">
              <w:rPr>
                <w:lang w:val="en-US"/>
              </w:rPr>
              <w:t>if defects occur</w:t>
            </w:r>
            <w:r w:rsidR="00FC34B1" w:rsidRPr="00695123">
              <w:rPr>
                <w:lang w:val="en-US"/>
              </w:rPr>
              <w:t xml:space="preserve">, </w:t>
            </w:r>
            <w:r w:rsidR="00EF2EE8" w:rsidRPr="00695123">
              <w:rPr>
                <w:lang w:val="en-US"/>
              </w:rPr>
              <w:t>lessons learned</w:t>
            </w:r>
          </w:p>
          <w:p w14:paraId="0CBC45E4" w14:textId="77777777" w:rsidR="00EF2EE8" w:rsidRPr="00695123" w:rsidRDefault="00EF2EE8" w:rsidP="00FC34B1">
            <w:pPr>
              <w:pStyle w:val="StandardDEEN"/>
              <w:rPr>
                <w:lang w:val="en-US"/>
              </w:rPr>
            </w:pPr>
            <w:r w:rsidRPr="00695123">
              <w:rPr>
                <w:lang w:val="en-US"/>
              </w:rPr>
              <w:t>Product (Design) FMEA Product FMEA shall be completed for all parts which are being designed within the responsibility of the supplier</w:t>
            </w:r>
            <w:r w:rsidR="00FC34B1" w:rsidRPr="00695123">
              <w:rPr>
                <w:lang w:val="en-US"/>
              </w:rPr>
              <w:t>. Upon request by Kayser, Product FMEA shall be presented to Kayser.</w:t>
            </w:r>
          </w:p>
          <w:p w14:paraId="47EAF8C5" w14:textId="77777777" w:rsidR="00FC34B1" w:rsidRPr="00695123" w:rsidRDefault="00FC34B1" w:rsidP="00FC34B1">
            <w:pPr>
              <w:pStyle w:val="StandardDEEN"/>
              <w:rPr>
                <w:lang w:val="en-US"/>
              </w:rPr>
            </w:pPr>
            <w:r w:rsidRPr="00695123">
              <w:rPr>
                <w:lang w:val="en-US"/>
              </w:rPr>
              <w:t>Process FMEA</w:t>
            </w:r>
          </w:p>
          <w:p w14:paraId="2E26BBD5" w14:textId="77777777" w:rsidR="00FC34B1" w:rsidRPr="00695123" w:rsidRDefault="00FC34B1" w:rsidP="00FC34B1">
            <w:pPr>
              <w:pStyle w:val="StandardDEEN"/>
              <w:rPr>
                <w:lang w:val="en-US"/>
              </w:rPr>
            </w:pPr>
            <w:r w:rsidRPr="00695123">
              <w:rPr>
                <w:lang w:val="en-US"/>
              </w:rPr>
              <w:t xml:space="preserve">Process FMEA shall be completed for all process steps of a component. In particular, the results of the process FMEA and the special characteristics shall be taken into consideration as basis for the Control Plan. Upon request by Kayser, Process FMEA shall be presented to Kayser. </w:t>
            </w:r>
          </w:p>
          <w:p w14:paraId="4895C055" w14:textId="48A99E32" w:rsidR="00FC34B1" w:rsidRPr="00695123" w:rsidRDefault="00FC34B1" w:rsidP="00FC34B1">
            <w:pPr>
              <w:pStyle w:val="StandardDEEN"/>
              <w:rPr>
                <w:lang w:val="en-US"/>
              </w:rPr>
            </w:pPr>
            <w:r w:rsidRPr="00695123">
              <w:rPr>
                <w:lang w:val="en-US"/>
              </w:rPr>
              <w:t>The following topics shall be considered:</w:t>
            </w:r>
          </w:p>
          <w:p w14:paraId="0FF4891A" w14:textId="1A598040" w:rsidR="00772D16" w:rsidRPr="00695123" w:rsidRDefault="00772D16" w:rsidP="00FC34B1">
            <w:pPr>
              <w:pStyle w:val="StandardDEEN"/>
              <w:rPr>
                <w:lang w:val="en-US"/>
              </w:rPr>
            </w:pPr>
            <w:r w:rsidRPr="00695123">
              <w:rPr>
                <w:lang w:val="en-US"/>
              </w:rPr>
              <w:t xml:space="preserve">Failure simulation along the FMEA (Product and Process): The identified failure modes within the FMEA shall be simulated on the shop floor after industrialization of the production process </w:t>
            </w:r>
            <w:proofErr w:type="gramStart"/>
            <w:r w:rsidRPr="00695123">
              <w:rPr>
                <w:lang w:val="en-US"/>
              </w:rPr>
              <w:t>in order to</w:t>
            </w:r>
            <w:proofErr w:type="gramEnd"/>
            <w:r w:rsidRPr="00695123">
              <w:rPr>
                <w:lang w:val="en-US"/>
              </w:rPr>
              <w:t xml:space="preserve"> verify if the failures are detected. Additional failure modes and other potential causes shall be identified and integrated into the FMEA.</w:t>
            </w:r>
          </w:p>
          <w:p w14:paraId="0592CCC8" w14:textId="540AC8A0" w:rsidR="00772D16" w:rsidRPr="00695123" w:rsidRDefault="003437CA" w:rsidP="00FC34B1">
            <w:pPr>
              <w:pStyle w:val="StandardDEEN"/>
              <w:rPr>
                <w:lang w:val="en-US"/>
              </w:rPr>
            </w:pPr>
            <w:r w:rsidRPr="00695123">
              <w:rPr>
                <w:lang w:val="en-US"/>
              </w:rPr>
              <w:br/>
            </w:r>
            <w:r w:rsidRPr="00695123">
              <w:rPr>
                <w:lang w:val="en-US"/>
              </w:rPr>
              <w:br/>
            </w:r>
            <w:r w:rsidR="00772D16" w:rsidRPr="00695123">
              <w:rPr>
                <w:lang w:val="en-US"/>
              </w:rPr>
              <w:t xml:space="preserve">Material mix-up: The complete process chain during production, including the processes of the sub-suppliers, shall be analyzed for risk potential concerning the mix-up of material. All necessary actions shall be taken </w:t>
            </w:r>
            <w:proofErr w:type="gramStart"/>
            <w:r w:rsidR="00772D16" w:rsidRPr="00695123">
              <w:rPr>
                <w:lang w:val="en-US"/>
              </w:rPr>
              <w:t>in order to</w:t>
            </w:r>
            <w:proofErr w:type="gramEnd"/>
            <w:r w:rsidR="00772D16" w:rsidRPr="00695123">
              <w:rPr>
                <w:lang w:val="en-US"/>
              </w:rPr>
              <w:t xml:space="preserve"> eliminate the risk of material mix up (e.g. implementation of efficient interlocking systems).</w:t>
            </w:r>
          </w:p>
          <w:p w14:paraId="1EF573CB" w14:textId="5511A035" w:rsidR="00772D16" w:rsidRPr="00695123" w:rsidRDefault="00772D16" w:rsidP="00FC34B1">
            <w:pPr>
              <w:pStyle w:val="StandardDEEN"/>
              <w:rPr>
                <w:lang w:val="en-US"/>
              </w:rPr>
            </w:pPr>
            <w:r w:rsidRPr="00695123">
              <w:rPr>
                <w:lang w:val="en-US"/>
              </w:rPr>
              <w:t>Management of part variants: A system shall be implemented which eliminates the risk of a mix-up of similar looking parts.</w:t>
            </w:r>
          </w:p>
          <w:p w14:paraId="3D7B0A8E" w14:textId="77777777" w:rsidR="00FC34B1" w:rsidRPr="00695123" w:rsidRDefault="00772D16" w:rsidP="00FC34B1">
            <w:pPr>
              <w:pStyle w:val="StandardDEEN"/>
              <w:rPr>
                <w:lang w:val="en-US"/>
              </w:rPr>
            </w:pPr>
            <w:r w:rsidRPr="00695123">
              <w:rPr>
                <w:lang w:val="en-US"/>
              </w:rPr>
              <w:t>Control of scrap parts, rework parts, setup parts and reference parts: This includes</w:t>
            </w:r>
            <w:proofErr w:type="gramStart"/>
            <w:r w:rsidRPr="00695123">
              <w:rPr>
                <w:lang w:val="en-US"/>
              </w:rPr>
              <w:t>, in particular, the</w:t>
            </w:r>
            <w:proofErr w:type="gramEnd"/>
            <w:r w:rsidRPr="00695123">
              <w:rPr>
                <w:lang w:val="en-US"/>
              </w:rPr>
              <w:t xml:space="preserve"> prevention of the mixing of suspect parts with good parts in special situations such as machine crashes, machine stoppage and restart.</w:t>
            </w:r>
          </w:p>
          <w:p w14:paraId="2AD04919" w14:textId="49ACB629" w:rsidR="00772D16" w:rsidRPr="00695123" w:rsidRDefault="003437CA" w:rsidP="00FC34B1">
            <w:pPr>
              <w:pStyle w:val="StandardDEEN"/>
              <w:rPr>
                <w:lang w:val="en-US"/>
              </w:rPr>
            </w:pPr>
            <w:r w:rsidRPr="00695123">
              <w:rPr>
                <w:lang w:val="en-US"/>
              </w:rPr>
              <w:br/>
            </w:r>
            <w:r w:rsidR="00772D16" w:rsidRPr="00695123">
              <w:rPr>
                <w:lang w:val="en-US"/>
              </w:rPr>
              <w:t xml:space="preserve">Technical cleanliness: Technical cleanliness shall be implemented in the FMEA based on the specific requirements. The sub-suppliers, machine manufacturers and service providers </w:t>
            </w:r>
            <w:proofErr w:type="gramStart"/>
            <w:r w:rsidR="00772D16" w:rsidRPr="00695123">
              <w:rPr>
                <w:lang w:val="en-US"/>
              </w:rPr>
              <w:t>have to</w:t>
            </w:r>
            <w:proofErr w:type="gramEnd"/>
            <w:r w:rsidR="00772D16" w:rsidRPr="00695123">
              <w:rPr>
                <w:lang w:val="en-US"/>
              </w:rPr>
              <w:t xml:space="preserve"> be considered as well. The product and all processes shall be designed so that all the requirements are fulfilled.</w:t>
            </w:r>
          </w:p>
          <w:p w14:paraId="76059860" w14:textId="77777777" w:rsidR="00772D16" w:rsidRPr="00695123" w:rsidRDefault="00772D16" w:rsidP="00FC34B1">
            <w:pPr>
              <w:pStyle w:val="StandardDEEN"/>
              <w:rPr>
                <w:lang w:val="en-US"/>
              </w:rPr>
            </w:pPr>
            <w:r w:rsidRPr="00695123">
              <w:rPr>
                <w:lang w:val="en-US"/>
              </w:rPr>
              <w:t xml:space="preserve">By pass/Skip </w:t>
            </w:r>
            <w:proofErr w:type="gramStart"/>
            <w:r w:rsidRPr="00695123">
              <w:rPr>
                <w:lang w:val="en-US"/>
              </w:rPr>
              <w:t>Process :A</w:t>
            </w:r>
            <w:proofErr w:type="gramEnd"/>
            <w:r w:rsidRPr="00695123">
              <w:rPr>
                <w:lang w:val="en-US"/>
              </w:rPr>
              <w:t xml:space="preserve"> system shall be designed and implemented to ensure that each process step can only be started if the previous one has been successfully completed.</w:t>
            </w:r>
          </w:p>
          <w:p w14:paraId="39F1C67E" w14:textId="2BE54725" w:rsidR="00772D16" w:rsidRPr="00695123" w:rsidRDefault="003437CA" w:rsidP="00FC34B1">
            <w:pPr>
              <w:pStyle w:val="StandardDEEN"/>
              <w:rPr>
                <w:lang w:val="en-US"/>
              </w:rPr>
            </w:pPr>
            <w:r w:rsidRPr="00695123">
              <w:rPr>
                <w:lang w:val="en-US"/>
              </w:rPr>
              <w:br/>
            </w:r>
            <w:r w:rsidR="00772D16" w:rsidRPr="00695123">
              <w:rPr>
                <w:lang w:val="en-US"/>
              </w:rPr>
              <w:t xml:space="preserve">Lessons Learned: All lessons learned from similar processes and products shall be </w:t>
            </w:r>
            <w:proofErr w:type="gramStart"/>
            <w:r w:rsidR="00772D16" w:rsidRPr="00695123">
              <w:rPr>
                <w:lang w:val="en-US"/>
              </w:rPr>
              <w:t>taken into account</w:t>
            </w:r>
            <w:proofErr w:type="gramEnd"/>
            <w:r w:rsidR="00772D16" w:rsidRPr="00695123">
              <w:rPr>
                <w:lang w:val="en-US"/>
              </w:rPr>
              <w:t xml:space="preserve"> for the new project. Among other things, lessons learned documentation, records of all internal and external complaints, 8D reports, as well as preceding FMEA’s shall be considered. Lessons Learned of sub-supplier’s issues </w:t>
            </w:r>
            <w:proofErr w:type="gramStart"/>
            <w:r w:rsidR="00772D16" w:rsidRPr="00695123">
              <w:rPr>
                <w:lang w:val="en-US"/>
              </w:rPr>
              <w:t>have to</w:t>
            </w:r>
            <w:proofErr w:type="gramEnd"/>
            <w:r w:rsidR="00772D16" w:rsidRPr="00695123">
              <w:rPr>
                <w:lang w:val="en-US"/>
              </w:rPr>
              <w:t xml:space="preserve"> be taken into account as well.</w:t>
            </w:r>
          </w:p>
          <w:p w14:paraId="4324F250" w14:textId="5C90E13D" w:rsidR="00772D16" w:rsidRPr="00695123" w:rsidRDefault="003437CA" w:rsidP="00FC34B1">
            <w:pPr>
              <w:pStyle w:val="StandardDEEN"/>
              <w:rPr>
                <w:lang w:val="en-US"/>
              </w:rPr>
            </w:pPr>
            <w:r w:rsidRPr="00695123">
              <w:rPr>
                <w:lang w:val="en-US"/>
              </w:rPr>
              <w:br/>
            </w:r>
            <w:r w:rsidRPr="00695123">
              <w:rPr>
                <w:lang w:val="en-US"/>
              </w:rPr>
              <w:br/>
            </w:r>
            <w:r w:rsidR="00772D16" w:rsidRPr="00695123">
              <w:rPr>
                <w:lang w:val="en-US"/>
              </w:rPr>
              <w:t xml:space="preserve">Assessment: An assessment of the FMEA process shall be performed. according to the international standards of VDA and AIAG. </w:t>
            </w:r>
          </w:p>
          <w:p w14:paraId="05ADED80" w14:textId="77777777" w:rsidR="00BC69A9" w:rsidRPr="00695123" w:rsidRDefault="00BC69A9" w:rsidP="00FC34B1">
            <w:pPr>
              <w:pStyle w:val="StandardDEEN"/>
              <w:rPr>
                <w:lang w:val="en-US"/>
              </w:rPr>
            </w:pPr>
            <w:r w:rsidRPr="00695123">
              <w:rPr>
                <w:lang w:val="en-US"/>
              </w:rPr>
              <w:t>Implementing measures: Risks which are identified with the help of a FMEA shall be minimized by taking appropriate measures. To implement the measures, target dates and responsibilities shall be assigned in such a way that the measures can be taken before the start of production. The measures introduced shall be re-evaluated regarding their effectiveness. Kayser shall be informed immediately about any necessary design modifications.</w:t>
            </w:r>
          </w:p>
          <w:p w14:paraId="496F0F6B" w14:textId="3BD865D3" w:rsidR="00FD56A8" w:rsidRPr="00695123" w:rsidRDefault="002A2AD0" w:rsidP="006B177F">
            <w:pPr>
              <w:pStyle w:val="StandardDEEN"/>
              <w:rPr>
                <w:lang w:val="en-US"/>
              </w:rPr>
            </w:pPr>
            <w:r w:rsidRPr="00695123">
              <w:rPr>
                <w:lang w:val="en-US"/>
              </w:rPr>
              <w:t xml:space="preserve">The measures defined in the FMEA must be implemented in the control plan and inspection plan. The consistency of the special characteristics must be </w:t>
            </w:r>
            <w:proofErr w:type="gramStart"/>
            <w:r w:rsidRPr="00695123">
              <w:rPr>
                <w:lang w:val="en-US"/>
              </w:rPr>
              <w:t>ensured.</w:t>
            </w:r>
            <w:r w:rsidR="00223B8D" w:rsidRPr="00695123">
              <w:rPr>
                <w:lang w:val="en-US"/>
              </w:rPr>
              <w:t>.</w:t>
            </w:r>
            <w:proofErr w:type="gramEnd"/>
          </w:p>
          <w:p w14:paraId="1C1A07BB" w14:textId="1E2AFE87" w:rsidR="00FD56A8" w:rsidRPr="00695123" w:rsidRDefault="00FD56A8" w:rsidP="006B177F">
            <w:pPr>
              <w:pStyle w:val="StandardDEEN"/>
              <w:rPr>
                <w:lang w:val="en-US"/>
              </w:rPr>
            </w:pPr>
            <w:r w:rsidRPr="00695123">
              <w:rPr>
                <w:lang w:val="en-US"/>
              </w:rPr>
              <w:t xml:space="preserve">For each FMEA, the consequences and meanings of defects must be known and agreed. The supplier must inquire about </w:t>
            </w:r>
            <w:r w:rsidR="00C53AD5" w:rsidRPr="00695123">
              <w:rPr>
                <w:lang w:val="en-US"/>
              </w:rPr>
              <w:t>the</w:t>
            </w:r>
            <w:r w:rsidRPr="00695123">
              <w:rPr>
                <w:lang w:val="en-US"/>
              </w:rPr>
              <w:t xml:space="preserve"> DFMEA </w:t>
            </w:r>
            <w:r w:rsidR="00C53AD5" w:rsidRPr="00695123">
              <w:rPr>
                <w:lang w:val="en-US"/>
              </w:rPr>
              <w:t xml:space="preserve">risk definition </w:t>
            </w:r>
            <w:r w:rsidRPr="00695123">
              <w:rPr>
                <w:lang w:val="en-US"/>
              </w:rPr>
              <w:t>at the following address, stating the material number: FMEA-Moderator@kayser-automotive.com</w:t>
            </w:r>
          </w:p>
        </w:tc>
      </w:tr>
    </w:tbl>
    <w:p w14:paraId="04ECC256" w14:textId="77777777" w:rsidR="00957768" w:rsidRPr="00167F98" w:rsidRDefault="00957768">
      <w:pPr>
        <w:rPr>
          <w:lang w:val="en-US"/>
        </w:rPr>
      </w:pPr>
    </w:p>
    <w:tbl>
      <w:tblPr>
        <w:tblStyle w:val="Tabellenraster"/>
        <w:tblW w:w="0" w:type="auto"/>
        <w:tblLook w:val="04A0" w:firstRow="1" w:lastRow="0" w:firstColumn="1" w:lastColumn="0" w:noHBand="0" w:noVBand="1"/>
      </w:tblPr>
      <w:tblGrid>
        <w:gridCol w:w="4984"/>
        <w:gridCol w:w="4938"/>
      </w:tblGrid>
      <w:tr w:rsidR="00695123" w:rsidRPr="00473277" w14:paraId="6405AB23" w14:textId="77777777" w:rsidTr="00AD39CE">
        <w:tc>
          <w:tcPr>
            <w:tcW w:w="4988" w:type="dxa"/>
            <w:tcBorders>
              <w:top w:val="nil"/>
              <w:left w:val="nil"/>
              <w:bottom w:val="nil"/>
              <w:right w:val="nil"/>
            </w:tcBorders>
          </w:tcPr>
          <w:p w14:paraId="09E820C2" w14:textId="4F3B2541" w:rsidR="00B66316" w:rsidRPr="00695123" w:rsidRDefault="00B66316" w:rsidP="00B7318F">
            <w:pPr>
              <w:pStyle w:val="berschrift1"/>
              <w:numPr>
                <w:ilvl w:val="0"/>
                <w:numId w:val="0"/>
              </w:numPr>
              <w:ind w:left="567" w:hanging="567"/>
              <w:rPr>
                <w:lang w:val="en-US"/>
              </w:rPr>
            </w:pPr>
            <w:bookmarkStart w:id="20" w:name="_Toc492643811"/>
            <w:r w:rsidRPr="00695123">
              <w:rPr>
                <w:lang w:val="en-US"/>
              </w:rPr>
              <w:t xml:space="preserve">§ </w:t>
            </w:r>
            <w:r w:rsidR="00DA67E4" w:rsidRPr="00695123">
              <w:rPr>
                <w:lang w:val="en-US"/>
              </w:rPr>
              <w:t>8</w:t>
            </w:r>
            <w:r w:rsidRPr="00695123">
              <w:rPr>
                <w:lang w:val="en-US"/>
              </w:rPr>
              <w:t xml:space="preserve">. </w:t>
            </w:r>
            <w:bookmarkEnd w:id="20"/>
            <w:r w:rsidR="007E2D90" w:rsidRPr="00695123">
              <w:rPr>
                <w:lang w:val="en-US"/>
              </w:rPr>
              <w:t>Product Safety and Conformity Representative (PSCR)</w:t>
            </w:r>
          </w:p>
          <w:p w14:paraId="0C71E35E" w14:textId="77777777" w:rsidR="00B66316" w:rsidRPr="00695123" w:rsidRDefault="00B66316" w:rsidP="001B0DB6">
            <w:pPr>
              <w:pStyle w:val="StandardDEEN"/>
            </w:pPr>
            <w:r w:rsidRPr="00695123">
              <w:t xml:space="preserve">Der Lieferant ist dazu verpflichtet einen </w:t>
            </w:r>
            <w:proofErr w:type="spellStart"/>
            <w:r w:rsidR="009B7EB1" w:rsidRPr="00695123">
              <w:t>Product</w:t>
            </w:r>
            <w:proofErr w:type="spellEnd"/>
            <w:r w:rsidR="009B7EB1" w:rsidRPr="00695123">
              <w:t xml:space="preserve"> </w:t>
            </w:r>
            <w:proofErr w:type="spellStart"/>
            <w:r w:rsidR="009B7EB1" w:rsidRPr="00695123">
              <w:t>Safety</w:t>
            </w:r>
            <w:proofErr w:type="spellEnd"/>
            <w:r w:rsidR="009B7EB1" w:rsidRPr="00695123">
              <w:t xml:space="preserve"> and </w:t>
            </w:r>
            <w:proofErr w:type="spellStart"/>
            <w:r w:rsidR="009B7EB1" w:rsidRPr="00695123">
              <w:t>Conformity</w:t>
            </w:r>
            <w:proofErr w:type="spellEnd"/>
            <w:r w:rsidR="009B7EB1" w:rsidRPr="00695123">
              <w:t xml:space="preserve"> </w:t>
            </w:r>
            <w:proofErr w:type="spellStart"/>
            <w:r w:rsidR="009B7EB1" w:rsidRPr="00695123">
              <w:t>Representative</w:t>
            </w:r>
            <w:proofErr w:type="spellEnd"/>
            <w:r w:rsidR="009B7EB1" w:rsidRPr="00695123">
              <w:t xml:space="preserve"> (PSCR)</w:t>
            </w:r>
            <w:r w:rsidR="009B7EB1" w:rsidRPr="00695123">
              <w:rPr>
                <w:sz w:val="38"/>
                <w:szCs w:val="38"/>
              </w:rPr>
              <w:t xml:space="preserve"> </w:t>
            </w:r>
            <w:r w:rsidRPr="00695123">
              <w:t>zu benennen</w:t>
            </w:r>
            <w:r w:rsidR="001365C3" w:rsidRPr="00695123">
              <w:t>,</w:t>
            </w:r>
            <w:r w:rsidRPr="00695123">
              <w:t xml:space="preserve"> der die Kenntnisse, Aufgaben und Kompetenzen des mitgeltenden Dokuments „Aufgaben des </w:t>
            </w:r>
            <w:proofErr w:type="spellStart"/>
            <w:r w:rsidR="009B7EB1" w:rsidRPr="00695123">
              <w:t>Product</w:t>
            </w:r>
            <w:proofErr w:type="spellEnd"/>
            <w:r w:rsidR="009B7EB1" w:rsidRPr="00695123">
              <w:t xml:space="preserve"> </w:t>
            </w:r>
            <w:proofErr w:type="spellStart"/>
            <w:r w:rsidR="009B7EB1" w:rsidRPr="00695123">
              <w:t>Safety</w:t>
            </w:r>
            <w:proofErr w:type="spellEnd"/>
            <w:r w:rsidR="009B7EB1" w:rsidRPr="00695123">
              <w:t xml:space="preserve"> and </w:t>
            </w:r>
            <w:proofErr w:type="spellStart"/>
            <w:r w:rsidR="009B7EB1" w:rsidRPr="00695123">
              <w:t>Conformity</w:t>
            </w:r>
            <w:proofErr w:type="spellEnd"/>
            <w:r w:rsidR="009B7EB1" w:rsidRPr="00695123">
              <w:t xml:space="preserve"> </w:t>
            </w:r>
            <w:proofErr w:type="spellStart"/>
            <w:r w:rsidR="009B7EB1" w:rsidRPr="00695123">
              <w:t>Representative</w:t>
            </w:r>
            <w:proofErr w:type="spellEnd"/>
            <w:r w:rsidR="009B7EB1" w:rsidRPr="00695123">
              <w:t xml:space="preserve"> (</w:t>
            </w:r>
            <w:proofErr w:type="gramStart"/>
            <w:r w:rsidR="009B7EB1" w:rsidRPr="00695123">
              <w:t>PSCR)</w:t>
            </w:r>
            <w:r w:rsidR="009B7EB1" w:rsidRPr="00695123">
              <w:rPr>
                <w:sz w:val="38"/>
                <w:szCs w:val="38"/>
              </w:rPr>
              <w:t xml:space="preserve"> </w:t>
            </w:r>
            <w:r w:rsidRPr="00695123">
              <w:t xml:space="preserve"> beim</w:t>
            </w:r>
            <w:proofErr w:type="gramEnd"/>
            <w:r w:rsidRPr="00695123">
              <w:t xml:space="preserve"> Lieferanten“</w:t>
            </w:r>
            <w:r w:rsidR="001B0DB6" w:rsidRPr="00695123">
              <w:t xml:space="preserve"> sowie die</w:t>
            </w:r>
            <w:r w:rsidR="0099223B" w:rsidRPr="00695123">
              <w:t xml:space="preserve"> Vorgaben des VDA Bands „Produktintegrität“</w:t>
            </w:r>
            <w:r w:rsidR="001B0DB6" w:rsidRPr="00695123">
              <w:t xml:space="preserve"> erfüllt</w:t>
            </w:r>
            <w:r w:rsidRPr="00695123">
              <w:t>.</w:t>
            </w:r>
          </w:p>
          <w:p w14:paraId="7656935B" w14:textId="0B8406AC" w:rsidR="00E424DB" w:rsidRPr="00695123" w:rsidRDefault="00E424DB" w:rsidP="001B0DB6">
            <w:pPr>
              <w:pStyle w:val="StandardDEEN"/>
            </w:pPr>
            <w:r w:rsidRPr="00695123">
              <w:t xml:space="preserve">Das </w:t>
            </w:r>
            <w:proofErr w:type="gramStart"/>
            <w:r w:rsidRPr="00695123">
              <w:t>PSCR Zertifikat</w:t>
            </w:r>
            <w:proofErr w:type="gramEnd"/>
            <w:r w:rsidRPr="00695123">
              <w:t xml:space="preserve"> ist vorzulegen und unter </w:t>
            </w:r>
            <w:hyperlink r:id="rId14" w:tgtFrame="_blank" w:tooltip="https://lm24.prego-services.de/" w:history="1">
              <w:r w:rsidRPr="00695123">
                <w:rPr>
                  <w:rStyle w:val="Hyperlink"/>
                  <w:color w:val="auto"/>
                </w:rPr>
                <w:t>https://lm24.prego-services.de</w:t>
              </w:r>
            </w:hyperlink>
            <w:r w:rsidRPr="00695123">
              <w:t xml:space="preserve"> hochzuladen </w:t>
            </w:r>
          </w:p>
          <w:p w14:paraId="293D58D7" w14:textId="4C733A8B" w:rsidR="00291AF5" w:rsidRPr="00695123" w:rsidRDefault="003437CA" w:rsidP="001B0DB6">
            <w:pPr>
              <w:pStyle w:val="StandardDEEN"/>
            </w:pPr>
            <w:r w:rsidRPr="00695123">
              <w:br/>
            </w:r>
            <w:r w:rsidR="00291AF5" w:rsidRPr="00695123">
              <w:t>Darüber hinaus muss der Lieferant seine Lieferkette ebenfalls zur Erfüllung dieser Anforderungen verpflichten.</w:t>
            </w:r>
          </w:p>
        </w:tc>
        <w:tc>
          <w:tcPr>
            <w:tcW w:w="4934" w:type="dxa"/>
            <w:tcBorders>
              <w:top w:val="nil"/>
              <w:left w:val="nil"/>
              <w:bottom w:val="nil"/>
              <w:right w:val="nil"/>
            </w:tcBorders>
          </w:tcPr>
          <w:p w14:paraId="45D46AB4" w14:textId="4C10445F" w:rsidR="00C2749B" w:rsidRPr="00695123" w:rsidRDefault="001954AE" w:rsidP="00304F33">
            <w:pPr>
              <w:pStyle w:val="berschriftEN1"/>
              <w:numPr>
                <w:ilvl w:val="0"/>
                <w:numId w:val="0"/>
              </w:numPr>
              <w:rPr>
                <w:lang w:val="en-US"/>
              </w:rPr>
            </w:pPr>
            <w:bookmarkStart w:id="21" w:name="_Toc492643812"/>
            <w:r w:rsidRPr="00695123">
              <w:rPr>
                <w:lang w:val="en-GB"/>
              </w:rPr>
              <w:t xml:space="preserve">§ </w:t>
            </w:r>
            <w:r w:rsidR="00DA67E4" w:rsidRPr="00695123">
              <w:rPr>
                <w:lang w:val="en-GB"/>
              </w:rPr>
              <w:t>8</w:t>
            </w:r>
            <w:r w:rsidRPr="00695123">
              <w:rPr>
                <w:lang w:val="en-GB"/>
              </w:rPr>
              <w:t xml:space="preserve">. </w:t>
            </w:r>
            <w:bookmarkEnd w:id="21"/>
            <w:r w:rsidR="007E2D90" w:rsidRPr="00695123">
              <w:rPr>
                <w:lang w:val="en-US"/>
              </w:rPr>
              <w:t>Product Safety and Conformity Representative (PSCR)</w:t>
            </w:r>
          </w:p>
          <w:p w14:paraId="52F805E1" w14:textId="77777777" w:rsidR="009B7EB1" w:rsidRPr="00695123" w:rsidRDefault="001954AE" w:rsidP="009B7EB1">
            <w:pPr>
              <w:pStyle w:val="StandardDEEN"/>
              <w:spacing w:before="0"/>
              <w:rPr>
                <w:lang w:val="en-US"/>
              </w:rPr>
            </w:pPr>
            <w:r w:rsidRPr="00695123">
              <w:rPr>
                <w:lang w:val="en-US"/>
              </w:rPr>
              <w:t xml:space="preserve">The Supplier is obliged to appoint a </w:t>
            </w:r>
            <w:r w:rsidR="009B7EB1" w:rsidRPr="00695123">
              <w:rPr>
                <w:lang w:val="en-US"/>
              </w:rPr>
              <w:t>Product Safety and Conformity Representative (PSCR)</w:t>
            </w:r>
            <w:r w:rsidR="009B7EB1" w:rsidRPr="00695123">
              <w:rPr>
                <w:sz w:val="38"/>
                <w:szCs w:val="38"/>
                <w:lang w:val="en-US"/>
              </w:rPr>
              <w:t xml:space="preserve"> </w:t>
            </w:r>
            <w:r w:rsidRPr="00695123">
              <w:rPr>
                <w:lang w:val="en-US"/>
              </w:rPr>
              <w:t xml:space="preserve">who has the knowledge, tasks and responsibilities set out in the co-applicable document “Tasks of the supplier’s </w:t>
            </w:r>
            <w:r w:rsidR="009B7EB1" w:rsidRPr="00695123">
              <w:rPr>
                <w:lang w:val="en-US"/>
              </w:rPr>
              <w:t xml:space="preserve">Product Safety and Conformity Representative (PSCR)”                           </w:t>
            </w:r>
          </w:p>
          <w:p w14:paraId="3F2CF3CA" w14:textId="77777777" w:rsidR="00B66316" w:rsidRPr="00695123" w:rsidRDefault="001954AE" w:rsidP="009B7EB1">
            <w:pPr>
              <w:pStyle w:val="StandardDEEN"/>
              <w:spacing w:before="0"/>
              <w:rPr>
                <w:lang w:val="en-GB"/>
              </w:rPr>
            </w:pPr>
            <w:r w:rsidRPr="00695123">
              <w:rPr>
                <w:lang w:val="en-GB"/>
              </w:rPr>
              <w:t>(</w:t>
            </w:r>
            <w:proofErr w:type="spellStart"/>
            <w:r w:rsidR="009B7EB1" w:rsidRPr="00695123">
              <w:rPr>
                <w:lang w:val="en-GB"/>
              </w:rPr>
              <w:t>Aufgaben</w:t>
            </w:r>
            <w:proofErr w:type="spellEnd"/>
            <w:r w:rsidR="009B7EB1" w:rsidRPr="00695123">
              <w:rPr>
                <w:lang w:val="en-GB"/>
              </w:rPr>
              <w:t xml:space="preserve"> des Product Safety and Conformity Representative (</w:t>
            </w:r>
            <w:proofErr w:type="gramStart"/>
            <w:r w:rsidR="009B7EB1" w:rsidRPr="00695123">
              <w:rPr>
                <w:lang w:val="en-GB"/>
              </w:rPr>
              <w:t>PSCR)</w:t>
            </w:r>
            <w:r w:rsidR="009B7EB1" w:rsidRPr="00695123">
              <w:rPr>
                <w:sz w:val="38"/>
                <w:szCs w:val="38"/>
                <w:lang w:val="en-GB"/>
              </w:rPr>
              <w:t xml:space="preserve"> </w:t>
            </w:r>
            <w:r w:rsidR="009B7EB1" w:rsidRPr="00695123">
              <w:rPr>
                <w:lang w:val="en-GB"/>
              </w:rPr>
              <w:t xml:space="preserve"> </w:t>
            </w:r>
            <w:proofErr w:type="spellStart"/>
            <w:r w:rsidR="009B7EB1" w:rsidRPr="00695123">
              <w:rPr>
                <w:lang w:val="en-GB"/>
              </w:rPr>
              <w:t>beim</w:t>
            </w:r>
            <w:proofErr w:type="spellEnd"/>
            <w:proofErr w:type="gramEnd"/>
            <w:r w:rsidR="009B7EB1" w:rsidRPr="00695123">
              <w:rPr>
                <w:lang w:val="en-GB"/>
              </w:rPr>
              <w:t xml:space="preserve"> </w:t>
            </w:r>
            <w:proofErr w:type="spellStart"/>
            <w:r w:rsidR="009B7EB1" w:rsidRPr="00695123">
              <w:rPr>
                <w:lang w:val="en-GB"/>
              </w:rPr>
              <w:t>Lieferanten</w:t>
            </w:r>
            <w:proofErr w:type="spellEnd"/>
            <w:r w:rsidRPr="00695123">
              <w:rPr>
                <w:lang w:val="en-GB"/>
              </w:rPr>
              <w:t>)</w:t>
            </w:r>
            <w:r w:rsidR="0099223B" w:rsidRPr="00695123">
              <w:rPr>
                <w:lang w:val="en-GB"/>
              </w:rPr>
              <w:t xml:space="preserve"> as well as those laid down in VDA Vol. “product integrity”</w:t>
            </w:r>
            <w:r w:rsidRPr="00695123">
              <w:rPr>
                <w:lang w:val="en-GB"/>
              </w:rPr>
              <w:t>.</w:t>
            </w:r>
          </w:p>
          <w:p w14:paraId="791F3273" w14:textId="77777777" w:rsidR="00291AF5" w:rsidRPr="00695123" w:rsidRDefault="00291AF5" w:rsidP="009B7EB1">
            <w:pPr>
              <w:pStyle w:val="StandardDEEN"/>
              <w:spacing w:before="0"/>
              <w:rPr>
                <w:lang w:val="en-GB"/>
              </w:rPr>
            </w:pPr>
          </w:p>
          <w:p w14:paraId="0BC43ECD" w14:textId="662D1595" w:rsidR="00E424DB" w:rsidRPr="00695123" w:rsidRDefault="00E424DB" w:rsidP="009B7EB1">
            <w:pPr>
              <w:pStyle w:val="StandardDEEN"/>
              <w:spacing w:before="0"/>
              <w:rPr>
                <w:lang w:val="en-GB"/>
              </w:rPr>
            </w:pPr>
            <w:r w:rsidRPr="00695123">
              <w:rPr>
                <w:lang w:val="en-GB"/>
              </w:rPr>
              <w:t xml:space="preserve">The PSCR certificate </w:t>
            </w:r>
            <w:r w:rsidR="00985BC7" w:rsidRPr="00695123">
              <w:rPr>
                <w:lang w:val="en-GB"/>
              </w:rPr>
              <w:t>must</w:t>
            </w:r>
            <w:r w:rsidRPr="00695123">
              <w:rPr>
                <w:lang w:val="en-GB"/>
              </w:rPr>
              <w:t xml:space="preserve"> be submitted and uploaded to </w:t>
            </w:r>
            <w:r>
              <w:fldChar w:fldCharType="begin"/>
            </w:r>
            <w:r w:rsidRPr="00473277">
              <w:rPr>
                <w:lang w:val="en-US"/>
              </w:rPr>
              <w:instrText>HYPERLINK "https://lm24.prego-services.de"</w:instrText>
            </w:r>
            <w:r>
              <w:fldChar w:fldCharType="separate"/>
            </w:r>
            <w:r w:rsidRPr="00695123">
              <w:rPr>
                <w:rStyle w:val="Hyperlink"/>
                <w:color w:val="auto"/>
                <w:lang w:val="en-GB"/>
              </w:rPr>
              <w:t>https://lm24.prego-services.de</w:t>
            </w:r>
            <w:r>
              <w:fldChar w:fldCharType="end"/>
            </w:r>
          </w:p>
          <w:p w14:paraId="68BBFBD0" w14:textId="77777777" w:rsidR="00E424DB" w:rsidRPr="00695123" w:rsidRDefault="00E424DB" w:rsidP="009B7EB1">
            <w:pPr>
              <w:pStyle w:val="StandardDEEN"/>
              <w:spacing w:before="0"/>
              <w:rPr>
                <w:lang w:val="en-GB"/>
              </w:rPr>
            </w:pPr>
          </w:p>
          <w:p w14:paraId="10067D68" w14:textId="0B30247D" w:rsidR="00291AF5" w:rsidRPr="00695123" w:rsidRDefault="00291AF5" w:rsidP="009B7EB1">
            <w:pPr>
              <w:pStyle w:val="StandardDEEN"/>
              <w:spacing w:before="0"/>
              <w:rPr>
                <w:lang w:val="en-US"/>
              </w:rPr>
            </w:pPr>
            <w:r w:rsidRPr="00695123">
              <w:rPr>
                <w:lang w:val="en-US"/>
              </w:rPr>
              <w:t>Furthermore, the supplier shall apply these requirements to their supply chain.</w:t>
            </w:r>
          </w:p>
        </w:tc>
      </w:tr>
      <w:tr w:rsidR="00167F98" w:rsidRPr="00473277" w14:paraId="32767FDE" w14:textId="77777777" w:rsidTr="00AD39CE">
        <w:tc>
          <w:tcPr>
            <w:tcW w:w="4988" w:type="dxa"/>
            <w:tcBorders>
              <w:top w:val="nil"/>
              <w:left w:val="nil"/>
              <w:bottom w:val="nil"/>
              <w:right w:val="nil"/>
            </w:tcBorders>
          </w:tcPr>
          <w:p w14:paraId="48834BEF" w14:textId="280BD2E8" w:rsidR="00B66316" w:rsidRPr="00167F98" w:rsidRDefault="00B66316" w:rsidP="00017D97">
            <w:pPr>
              <w:pStyle w:val="berschrift1"/>
              <w:numPr>
                <w:ilvl w:val="0"/>
                <w:numId w:val="0"/>
              </w:numPr>
              <w:ind w:left="357" w:hanging="357"/>
            </w:pPr>
            <w:bookmarkStart w:id="22" w:name="_Toc492627344"/>
            <w:bookmarkStart w:id="23" w:name="_Toc492643813"/>
            <w:r w:rsidRPr="00167F98">
              <w:t xml:space="preserve">§ </w:t>
            </w:r>
            <w:r w:rsidR="00DA67E4">
              <w:t>9</w:t>
            </w:r>
            <w:r w:rsidRPr="00167F98">
              <w:t>. Abweichungen</w:t>
            </w:r>
            <w:bookmarkEnd w:id="22"/>
            <w:bookmarkEnd w:id="23"/>
          </w:p>
          <w:p w14:paraId="7004F114" w14:textId="77777777" w:rsidR="00B66316" w:rsidRPr="00167F98" w:rsidRDefault="00B66316" w:rsidP="00017D97">
            <w:pPr>
              <w:pStyle w:val="StandardDEEN"/>
            </w:pPr>
            <w:r w:rsidRPr="00167F98">
              <w:t>Kann der Lieferant</w:t>
            </w:r>
            <w:r w:rsidRPr="00167F98" w:rsidDel="00563256">
              <w:t xml:space="preserve"> </w:t>
            </w:r>
            <w:r w:rsidRPr="00167F98">
              <w:t>die vertraglich festgelegte</w:t>
            </w:r>
            <w:r w:rsidR="00AD7F3F" w:rsidRPr="00167F98">
              <w:t>n</w:t>
            </w:r>
            <w:r w:rsidRPr="00167F98">
              <w:t xml:space="preserve"> </w:t>
            </w:r>
            <w:r w:rsidR="00C10A88" w:rsidRPr="00167F98">
              <w:t>Spezifikationen entsprechend der</w:t>
            </w:r>
            <w:r w:rsidR="00C10A88" w:rsidRPr="00167F98">
              <w:rPr>
                <w:sz w:val="24"/>
              </w:rPr>
              <w:t xml:space="preserve"> </w:t>
            </w:r>
            <w:r w:rsidRPr="00167F98">
              <w:t>technische</w:t>
            </w:r>
            <w:r w:rsidR="00C10A88" w:rsidRPr="00167F98">
              <w:t>n</w:t>
            </w:r>
            <w:r w:rsidRPr="00167F98">
              <w:t xml:space="preserve"> Dokumentationen zur </w:t>
            </w:r>
            <w:proofErr w:type="gramStart"/>
            <w:r w:rsidRPr="00167F98">
              <w:t>Bestellung  nicht</w:t>
            </w:r>
            <w:proofErr w:type="gramEnd"/>
            <w:r w:rsidRPr="00167F98">
              <w:t xml:space="preserve"> einhalten, ist er verpflichtet</w:t>
            </w:r>
            <w:r w:rsidR="001365C3" w:rsidRPr="00167F98">
              <w:t>,</w:t>
            </w:r>
            <w:r w:rsidRPr="00167F98">
              <w:t xml:space="preserve"> dies unverzüglich</w:t>
            </w:r>
            <w:r w:rsidR="001B0DB6" w:rsidRPr="00167F98">
              <w:t xml:space="preserve"> und vor der Lieferung</w:t>
            </w:r>
            <w:r w:rsidRPr="00167F98">
              <w:t xml:space="preserve"> schriftlich an KAYSER mitzuteilen.</w:t>
            </w:r>
          </w:p>
        </w:tc>
        <w:tc>
          <w:tcPr>
            <w:tcW w:w="4934" w:type="dxa"/>
            <w:tcBorders>
              <w:top w:val="nil"/>
              <w:left w:val="nil"/>
              <w:bottom w:val="nil"/>
              <w:right w:val="nil"/>
            </w:tcBorders>
          </w:tcPr>
          <w:p w14:paraId="08A183A1" w14:textId="2A948C3F" w:rsidR="001954AE" w:rsidRPr="00167F98" w:rsidRDefault="001954AE" w:rsidP="00AB30AD">
            <w:pPr>
              <w:pStyle w:val="berschriftEN1"/>
              <w:numPr>
                <w:ilvl w:val="0"/>
                <w:numId w:val="0"/>
              </w:numPr>
              <w:rPr>
                <w:lang w:val="en-US"/>
              </w:rPr>
            </w:pPr>
            <w:bookmarkStart w:id="24" w:name="_Toc492550465"/>
            <w:bookmarkStart w:id="25" w:name="_Toc492643814"/>
            <w:r w:rsidRPr="00167F98">
              <w:rPr>
                <w:lang w:val="en-US"/>
              </w:rPr>
              <w:t xml:space="preserve">§ </w:t>
            </w:r>
            <w:r w:rsidR="00DA67E4">
              <w:rPr>
                <w:lang w:val="en-US"/>
              </w:rPr>
              <w:t>9</w:t>
            </w:r>
            <w:r w:rsidRPr="00167F98">
              <w:rPr>
                <w:lang w:val="en-US"/>
              </w:rPr>
              <w:t>. Deviations</w:t>
            </w:r>
            <w:bookmarkEnd w:id="24"/>
            <w:bookmarkEnd w:id="25"/>
          </w:p>
          <w:p w14:paraId="3743789A" w14:textId="77777777" w:rsidR="00B66316" w:rsidRPr="00167F98" w:rsidRDefault="001954AE" w:rsidP="00C10A88">
            <w:pPr>
              <w:pStyle w:val="StandardDEEN"/>
              <w:rPr>
                <w:lang w:val="en-GB"/>
              </w:rPr>
            </w:pPr>
            <w:r w:rsidRPr="00167F98">
              <w:rPr>
                <w:lang w:val="en-GB"/>
              </w:rPr>
              <w:t xml:space="preserve">If the Supplier is unable to comply with the contractually stipulated </w:t>
            </w:r>
            <w:r w:rsidR="00C10A88" w:rsidRPr="00167F98">
              <w:rPr>
                <w:lang w:val="en-GB"/>
              </w:rPr>
              <w:t xml:space="preserve">specification according to the technical </w:t>
            </w:r>
            <w:r w:rsidRPr="00167F98">
              <w:rPr>
                <w:lang w:val="en-GB"/>
              </w:rPr>
              <w:t>documentation for the order, it is obliged to immediately notify KAYSER of this in writing</w:t>
            </w:r>
            <w:r w:rsidR="001B0DB6" w:rsidRPr="00167F98">
              <w:rPr>
                <w:lang w:val="en-GB"/>
              </w:rPr>
              <w:t xml:space="preserve"> before delivery</w:t>
            </w:r>
            <w:r w:rsidRPr="00167F98">
              <w:rPr>
                <w:lang w:val="en-GB"/>
              </w:rPr>
              <w:t>.</w:t>
            </w:r>
          </w:p>
        </w:tc>
      </w:tr>
      <w:tr w:rsidR="00167F98" w:rsidRPr="00473277" w14:paraId="35C43868" w14:textId="77777777" w:rsidTr="00AD39CE">
        <w:tc>
          <w:tcPr>
            <w:tcW w:w="4988" w:type="dxa"/>
            <w:tcBorders>
              <w:top w:val="nil"/>
              <w:left w:val="nil"/>
              <w:bottom w:val="nil"/>
              <w:right w:val="nil"/>
            </w:tcBorders>
          </w:tcPr>
          <w:p w14:paraId="07142BE9" w14:textId="4CDA1AA9" w:rsidR="00B66316" w:rsidRPr="00167F98" w:rsidRDefault="00B66316" w:rsidP="00B7318F">
            <w:pPr>
              <w:pStyle w:val="berschrift1"/>
              <w:numPr>
                <w:ilvl w:val="0"/>
                <w:numId w:val="0"/>
              </w:numPr>
              <w:ind w:left="510" w:hanging="510"/>
              <w:rPr>
                <w:sz w:val="24"/>
              </w:rPr>
            </w:pPr>
            <w:bookmarkStart w:id="26" w:name="_Toc492627345"/>
            <w:bookmarkStart w:id="27" w:name="_Toc492643815"/>
            <w:r w:rsidRPr="00167F98">
              <w:rPr>
                <w:sz w:val="24"/>
              </w:rPr>
              <w:t xml:space="preserve">§ </w:t>
            </w:r>
            <w:r w:rsidR="00424881">
              <w:t>1</w:t>
            </w:r>
            <w:r w:rsidR="00DA67E4">
              <w:t>0</w:t>
            </w:r>
            <w:r w:rsidRPr="00167F98">
              <w:t>. Zusicherung / Änderungsmanagement</w:t>
            </w:r>
            <w:bookmarkEnd w:id="26"/>
            <w:bookmarkEnd w:id="27"/>
          </w:p>
          <w:p w14:paraId="2BE54F54" w14:textId="77777777" w:rsidR="00B66316" w:rsidRPr="00167F98" w:rsidRDefault="00B66316" w:rsidP="00017D97">
            <w:pPr>
              <w:pStyle w:val="StandardDEEN"/>
            </w:pPr>
            <w:r w:rsidRPr="00167F98">
              <w:t xml:space="preserve">Der Lieferant informiert KAYSER </w:t>
            </w:r>
            <w:r w:rsidR="00BE3399" w:rsidRPr="00167F98">
              <w:t xml:space="preserve">mindestens sechs Monate </w:t>
            </w:r>
            <w:r w:rsidRPr="00167F98">
              <w:t xml:space="preserve">vor Durchführung aller geplanten Änderungen an Produkten und Prozessen, sowohl vor als auch nach SOP (Start </w:t>
            </w:r>
            <w:proofErr w:type="spellStart"/>
            <w:r w:rsidRPr="00167F98">
              <w:t>of</w:t>
            </w:r>
            <w:proofErr w:type="spellEnd"/>
            <w:r w:rsidRPr="00167F98">
              <w:t xml:space="preserve"> </w:t>
            </w:r>
            <w:proofErr w:type="spellStart"/>
            <w:r w:rsidRPr="00167F98">
              <w:t>Production</w:t>
            </w:r>
            <w:proofErr w:type="spellEnd"/>
            <w:r w:rsidRPr="00167F98">
              <w:t xml:space="preserve">), </w:t>
            </w:r>
          </w:p>
          <w:p w14:paraId="17212083" w14:textId="77777777" w:rsidR="00B66316" w:rsidRPr="00167F98" w:rsidRDefault="00B66316" w:rsidP="00017D97">
            <w:pPr>
              <w:pStyle w:val="StandardDEEN"/>
            </w:pPr>
            <w:r w:rsidRPr="00167F98">
              <w:t>z. B. bei:</w:t>
            </w:r>
          </w:p>
          <w:p w14:paraId="6CE8F0A4" w14:textId="77777777" w:rsidR="00B66316" w:rsidRPr="00167F98" w:rsidRDefault="00B66316" w:rsidP="00410CB0">
            <w:pPr>
              <w:pStyle w:val="StandardDEEN"/>
              <w:numPr>
                <w:ilvl w:val="0"/>
                <w:numId w:val="4"/>
              </w:numPr>
              <w:spacing w:before="0"/>
            </w:pPr>
            <w:r w:rsidRPr="00167F98">
              <w:t>Konstruktions-, Spezifikations- oder Werkstoffänderungen,</w:t>
            </w:r>
          </w:p>
          <w:p w14:paraId="3F64C67A" w14:textId="77777777" w:rsidR="00B66316" w:rsidRPr="00167F98" w:rsidRDefault="00B66316" w:rsidP="00410CB0">
            <w:pPr>
              <w:pStyle w:val="StandardDEEN"/>
              <w:numPr>
                <w:ilvl w:val="0"/>
                <w:numId w:val="4"/>
              </w:numPr>
              <w:spacing w:before="0"/>
            </w:pPr>
            <w:r w:rsidRPr="00167F98">
              <w:t>Einsatz neuer, modifizierter oder Ersatzwerkzeuge,</w:t>
            </w:r>
          </w:p>
          <w:p w14:paraId="181F1CC0" w14:textId="77777777" w:rsidR="00B66316" w:rsidRPr="00167F98" w:rsidRDefault="00B66316" w:rsidP="00410CB0">
            <w:pPr>
              <w:pStyle w:val="StandardDEEN"/>
              <w:numPr>
                <w:ilvl w:val="0"/>
                <w:numId w:val="4"/>
              </w:numPr>
              <w:spacing w:before="0"/>
            </w:pPr>
            <w:r w:rsidRPr="00167F98">
              <w:t>Herstellmethoden oder Produktions- oder Logistikprozessen,</w:t>
            </w:r>
          </w:p>
          <w:p w14:paraId="7C9EB0D6" w14:textId="77777777" w:rsidR="00B66316" w:rsidRPr="00167F98" w:rsidRDefault="00B66316" w:rsidP="00410CB0">
            <w:pPr>
              <w:pStyle w:val="StandardDEEN"/>
              <w:numPr>
                <w:ilvl w:val="0"/>
                <w:numId w:val="4"/>
              </w:numPr>
              <w:spacing w:before="0"/>
            </w:pPr>
            <w:r w:rsidRPr="00167F98">
              <w:t>Produktionsverlagerung innerhalb eines Fertigungsstandortes oder an andere</w:t>
            </w:r>
            <w:r w:rsidR="00957768" w:rsidRPr="00167F98">
              <w:t xml:space="preserve"> </w:t>
            </w:r>
            <w:r w:rsidRPr="00167F98">
              <w:t>Standorte,</w:t>
            </w:r>
          </w:p>
          <w:p w14:paraId="6EF2FFB2" w14:textId="77777777" w:rsidR="00B66316" w:rsidRPr="00167F98" w:rsidRDefault="00B66316" w:rsidP="00410CB0">
            <w:pPr>
              <w:pStyle w:val="StandardDEEN"/>
              <w:numPr>
                <w:ilvl w:val="0"/>
                <w:numId w:val="4"/>
              </w:numPr>
              <w:spacing w:before="0"/>
            </w:pPr>
            <w:r w:rsidRPr="00167F98">
              <w:t>Änderungen von Lieferanten an Produkten, Unterteilen, Materialien, Unterlieferanten von Rohmaterialien, Dienstleistungen oder Software,</w:t>
            </w:r>
          </w:p>
          <w:p w14:paraId="7B48368A" w14:textId="77777777" w:rsidR="00B66316" w:rsidRPr="00167F98" w:rsidRDefault="00B66316" w:rsidP="00410CB0">
            <w:pPr>
              <w:pStyle w:val="StandardDEEN"/>
              <w:numPr>
                <w:ilvl w:val="0"/>
                <w:numId w:val="4"/>
              </w:numPr>
              <w:spacing w:before="0"/>
            </w:pPr>
            <w:r w:rsidRPr="00167F98">
              <w:t>Neuanlauf von Produktionseinrichtungen nach Stilllegung von mehr als 12 Monaten.</w:t>
            </w:r>
          </w:p>
          <w:p w14:paraId="7468A8C2" w14:textId="7AEB4AD0" w:rsidR="00E81F4A" w:rsidRPr="003D4AF6" w:rsidRDefault="00E81F4A" w:rsidP="00017D97">
            <w:pPr>
              <w:pStyle w:val="StandardDEEN"/>
            </w:pPr>
            <w:r w:rsidRPr="003D4AF6">
              <w:t xml:space="preserve">Darüber hinaus gelten die Vorschriften und Details der IATF 16949 und der VDA-Bände. </w:t>
            </w:r>
          </w:p>
          <w:p w14:paraId="583F3914" w14:textId="3FF6A6C5" w:rsidR="00B66316" w:rsidRPr="00167F98" w:rsidRDefault="00B66316" w:rsidP="00017D97">
            <w:pPr>
              <w:pStyle w:val="StandardDEEN"/>
            </w:pPr>
            <w:r w:rsidRPr="00167F98">
              <w:t>Die Informationspflicht des Lieferanten besteht auch, wenn einer der vorgenannten Punkte auf einen seiner Unterlieferanten zutrifft.</w:t>
            </w:r>
          </w:p>
          <w:p w14:paraId="0C7DA02A" w14:textId="0BB49725" w:rsidR="00B66316" w:rsidRPr="00167F98" w:rsidRDefault="00B66316" w:rsidP="00017D97">
            <w:pPr>
              <w:pStyle w:val="StandardDEEN"/>
              <w:rPr>
                <w:strike/>
              </w:rPr>
            </w:pPr>
            <w:r w:rsidRPr="00167F98">
              <w:t xml:space="preserve">Der Lieferant informiert KAYSER auch über Änderungen des Verfahrens zur Qualitätssicherung. </w:t>
            </w:r>
          </w:p>
          <w:p w14:paraId="4A763450" w14:textId="77777777" w:rsidR="00B66316" w:rsidRPr="00167F98" w:rsidRDefault="00B66316" w:rsidP="00017D97">
            <w:pPr>
              <w:pStyle w:val="StandardDEEN"/>
            </w:pPr>
            <w:r w:rsidRPr="00167F98">
              <w:t>Die Information über die Änderung hat rechtzeitig und vollständig zu erfolgen, so dass KAYSER die vorgesehene Änderung auf ihre Tragweite überprüfen kann. Befürchtet KAYSER nachteilige Auswirkungen und legt deshalb Widerspruch ein, wird der Lieferant die Änderung nicht vornehmen.</w:t>
            </w:r>
          </w:p>
          <w:p w14:paraId="33C1BEB9" w14:textId="77777777" w:rsidR="00B66316" w:rsidRPr="00167F98" w:rsidRDefault="00B66316" w:rsidP="00017D97">
            <w:pPr>
              <w:pStyle w:val="StandardDEEN"/>
            </w:pPr>
            <w:r w:rsidRPr="00167F98">
              <w:t xml:space="preserve">Nach einer Änderung muss eine erneute Freigabe </w:t>
            </w:r>
            <w:r w:rsidR="00524CFE" w:rsidRPr="00167F98">
              <w:t xml:space="preserve">gemäß </w:t>
            </w:r>
            <w:r w:rsidRPr="00167F98">
              <w:t xml:space="preserve">§ 4 vor der ersten Lieferung erfolgen. </w:t>
            </w:r>
          </w:p>
          <w:p w14:paraId="2ABE9AFF" w14:textId="77777777" w:rsidR="00B66316" w:rsidRPr="00167F98" w:rsidRDefault="00B66316" w:rsidP="00017D97">
            <w:pPr>
              <w:pStyle w:val="StandardDEEN"/>
            </w:pPr>
            <w:r w:rsidRPr="00167F98">
              <w:t>Eine Freigabe der Warenänderung bedingt die Freigabe durch den Kunden von KAYSER. In diesem Falle gehen die Kosten für die Freigabe erforderlichen Prüfungen und Freigabeverfahren zu Lasten des Lieferanten. Vorschläge des Lieferanten zur Kostensenkung fallen nicht automatisch unter diese Regelung und sind bezüglich der Vorgehensweise gesondert zu vereinbaren.</w:t>
            </w:r>
          </w:p>
          <w:p w14:paraId="6D4CEFAB" w14:textId="77777777" w:rsidR="00B66316" w:rsidRPr="00167F98" w:rsidRDefault="00B66316" w:rsidP="00017D97">
            <w:pPr>
              <w:pStyle w:val="StandardDEEN"/>
            </w:pPr>
            <w:r w:rsidRPr="00167F98">
              <w:t xml:space="preserve">Das Schweigen oder die Zustimmung </w:t>
            </w:r>
            <w:r w:rsidR="00021356" w:rsidRPr="00167F98">
              <w:t xml:space="preserve">von </w:t>
            </w:r>
            <w:r w:rsidRPr="00167F98">
              <w:t>KAYSER zu der Änderung entlastet den Lieferanten nicht von seiner alleinigen Verantwortung für Eigenschaften und Zuverlässigkeit der Vertragsgegenstände.</w:t>
            </w:r>
          </w:p>
          <w:p w14:paraId="3B935474" w14:textId="77777777" w:rsidR="00B66316" w:rsidRPr="00167F98" w:rsidRDefault="00B66316" w:rsidP="00017D97">
            <w:pPr>
              <w:pStyle w:val="StandardDEEN"/>
            </w:pPr>
            <w:r w:rsidRPr="00167F98">
              <w:t>Sind zum Änderungszeitpunkt vorgefertigte Teile alter Ausführung vorhanden, so sind die Stückzahlen, zu denen KAYSER eine Abnahmeverpflichtungen hat, durch den Lieferanten an KAYSER zur Entscheidung bekannt zu geben.</w:t>
            </w:r>
          </w:p>
        </w:tc>
        <w:tc>
          <w:tcPr>
            <w:tcW w:w="4934" w:type="dxa"/>
            <w:tcBorders>
              <w:top w:val="nil"/>
              <w:left w:val="nil"/>
              <w:bottom w:val="nil"/>
              <w:right w:val="nil"/>
            </w:tcBorders>
          </w:tcPr>
          <w:p w14:paraId="1E1BBE2F" w14:textId="63B3E23F" w:rsidR="001954AE" w:rsidRPr="00167F98" w:rsidRDefault="001954AE" w:rsidP="00AB30AD">
            <w:pPr>
              <w:pStyle w:val="berschriftEN1"/>
              <w:numPr>
                <w:ilvl w:val="0"/>
                <w:numId w:val="0"/>
              </w:numPr>
              <w:rPr>
                <w:lang w:val="en-US"/>
              </w:rPr>
            </w:pPr>
            <w:bookmarkStart w:id="28" w:name="_Toc492550466"/>
            <w:bookmarkStart w:id="29" w:name="_Toc492643816"/>
            <w:r w:rsidRPr="00167F98">
              <w:rPr>
                <w:lang w:val="en-US"/>
              </w:rPr>
              <w:t xml:space="preserve">§ </w:t>
            </w:r>
            <w:r w:rsidR="00424881">
              <w:rPr>
                <w:lang w:val="en-US"/>
              </w:rPr>
              <w:t>1</w:t>
            </w:r>
            <w:r w:rsidR="00DA67E4">
              <w:rPr>
                <w:lang w:val="en-US"/>
              </w:rPr>
              <w:t>0</w:t>
            </w:r>
            <w:r w:rsidRPr="00167F98">
              <w:rPr>
                <w:lang w:val="en-US"/>
              </w:rPr>
              <w:t>. Change management</w:t>
            </w:r>
            <w:bookmarkEnd w:id="28"/>
            <w:bookmarkEnd w:id="29"/>
            <w:r w:rsidRPr="00167F98">
              <w:rPr>
                <w:lang w:val="en-US"/>
              </w:rPr>
              <w:t xml:space="preserve"> </w:t>
            </w:r>
          </w:p>
          <w:p w14:paraId="295BD4F6" w14:textId="77777777" w:rsidR="00957768" w:rsidRPr="00167F98" w:rsidRDefault="00957768" w:rsidP="00957768">
            <w:pPr>
              <w:pStyle w:val="StandardDEEN"/>
              <w:spacing w:before="0"/>
              <w:rPr>
                <w:rFonts w:cs="HelveticaNeue-Light"/>
                <w:szCs w:val="24"/>
                <w:lang w:val="en-GB"/>
              </w:rPr>
            </w:pPr>
          </w:p>
          <w:p w14:paraId="4305AA93" w14:textId="77777777" w:rsidR="005C29F4" w:rsidRPr="00167F98" w:rsidRDefault="001954AE" w:rsidP="00957768">
            <w:pPr>
              <w:pStyle w:val="StandardDEEN"/>
              <w:spacing w:before="340"/>
              <w:rPr>
                <w:rFonts w:cs="HelveticaNeue-Light"/>
                <w:szCs w:val="24"/>
                <w:lang w:val="en-GB"/>
              </w:rPr>
            </w:pPr>
            <w:r w:rsidRPr="00167F98">
              <w:rPr>
                <w:rFonts w:cs="HelveticaNeue-Light"/>
                <w:szCs w:val="24"/>
                <w:lang w:val="en-GB"/>
              </w:rPr>
              <w:t xml:space="preserve">The Supplier shall notify KAYSER </w:t>
            </w:r>
            <w:r w:rsidR="001365C3" w:rsidRPr="00167F98">
              <w:rPr>
                <w:rFonts w:cs="HelveticaNeue-Light"/>
                <w:szCs w:val="24"/>
                <w:lang w:val="en-GB"/>
              </w:rPr>
              <w:t>at least</w:t>
            </w:r>
            <w:r w:rsidR="001E6963" w:rsidRPr="00167F98">
              <w:rPr>
                <w:rFonts w:cs="HelveticaNeue-Light"/>
                <w:szCs w:val="24"/>
                <w:lang w:val="en-GB"/>
              </w:rPr>
              <w:t xml:space="preserve"> six </w:t>
            </w:r>
            <w:proofErr w:type="gramStart"/>
            <w:r w:rsidR="001E6963" w:rsidRPr="00167F98">
              <w:rPr>
                <w:rFonts w:cs="HelveticaNeue-Light"/>
                <w:szCs w:val="24"/>
                <w:lang w:val="en-GB"/>
              </w:rPr>
              <w:t>month</w:t>
            </w:r>
            <w:proofErr w:type="gramEnd"/>
            <w:r w:rsidR="001E6963" w:rsidRPr="00167F98">
              <w:rPr>
                <w:rFonts w:cs="HelveticaNeue-Light"/>
                <w:szCs w:val="24"/>
                <w:lang w:val="en-GB"/>
              </w:rPr>
              <w:t xml:space="preserve"> </w:t>
            </w:r>
            <w:r w:rsidRPr="00167F98">
              <w:rPr>
                <w:rFonts w:cs="HelveticaNeue-Light"/>
                <w:szCs w:val="24"/>
                <w:lang w:val="en-GB"/>
              </w:rPr>
              <w:t xml:space="preserve">before conducting any planned change to products and processes both before and also after start of production (SOP), </w:t>
            </w:r>
          </w:p>
          <w:p w14:paraId="4505D6C3" w14:textId="53B0EA8B" w:rsidR="001954AE" w:rsidRPr="00167F98" w:rsidRDefault="00D023B7" w:rsidP="00957768">
            <w:pPr>
              <w:pStyle w:val="StandardDEEN"/>
              <w:spacing w:before="0"/>
              <w:rPr>
                <w:rFonts w:cs="HelveticaNeue-Light"/>
                <w:szCs w:val="24"/>
                <w:lang w:val="en-GB"/>
              </w:rPr>
            </w:pPr>
            <w:r>
              <w:rPr>
                <w:rFonts w:cs="HelveticaNeue-Light"/>
                <w:szCs w:val="24"/>
                <w:lang w:val="en-GB"/>
              </w:rPr>
              <w:br/>
            </w:r>
            <w:r w:rsidR="001954AE" w:rsidRPr="00167F98">
              <w:rPr>
                <w:rFonts w:cs="HelveticaNeue-Light"/>
                <w:szCs w:val="24"/>
                <w:lang w:val="en-GB"/>
              </w:rPr>
              <w:t xml:space="preserve">for </w:t>
            </w:r>
            <w:proofErr w:type="gramStart"/>
            <w:r w:rsidR="001954AE" w:rsidRPr="00167F98">
              <w:rPr>
                <w:rFonts w:cs="HelveticaNeue-Light"/>
                <w:szCs w:val="24"/>
                <w:lang w:val="en-GB"/>
              </w:rPr>
              <w:t>example</w:t>
            </w:r>
            <w:proofErr w:type="gramEnd"/>
            <w:r w:rsidR="001954AE" w:rsidRPr="00167F98">
              <w:rPr>
                <w:rFonts w:cs="HelveticaNeue-Light"/>
                <w:szCs w:val="24"/>
                <w:lang w:val="en-GB"/>
              </w:rPr>
              <w:t xml:space="preserve"> in the case of:</w:t>
            </w:r>
          </w:p>
          <w:p w14:paraId="0C0CBEA0" w14:textId="77777777" w:rsidR="001954AE" w:rsidRPr="00167F98" w:rsidRDefault="001954AE" w:rsidP="00410CB0">
            <w:pPr>
              <w:pStyle w:val="StandardDEEN"/>
              <w:numPr>
                <w:ilvl w:val="0"/>
                <w:numId w:val="9"/>
              </w:numPr>
              <w:spacing w:before="0"/>
              <w:rPr>
                <w:lang w:val="en-US"/>
              </w:rPr>
            </w:pPr>
            <w:r w:rsidRPr="00167F98">
              <w:rPr>
                <w:lang w:val="en-US"/>
              </w:rPr>
              <w:t>Changes in design, specifications and materials</w:t>
            </w:r>
          </w:p>
          <w:p w14:paraId="5FF9B40C" w14:textId="77777777" w:rsidR="001954AE" w:rsidRPr="00167F98" w:rsidRDefault="001954AE" w:rsidP="00410CB0">
            <w:pPr>
              <w:pStyle w:val="StandardDEEN"/>
              <w:numPr>
                <w:ilvl w:val="0"/>
                <w:numId w:val="9"/>
              </w:numPr>
              <w:spacing w:before="0"/>
              <w:rPr>
                <w:lang w:val="en-US"/>
              </w:rPr>
            </w:pPr>
            <w:r w:rsidRPr="00167F98">
              <w:rPr>
                <w:lang w:val="en-US"/>
              </w:rPr>
              <w:t>Use of new, modified or replacement tools</w:t>
            </w:r>
          </w:p>
          <w:p w14:paraId="097D2BD8" w14:textId="77777777" w:rsidR="00957768" w:rsidRPr="00167F98" w:rsidRDefault="00957768" w:rsidP="00957768">
            <w:pPr>
              <w:pStyle w:val="StandardDEEN"/>
              <w:spacing w:before="0"/>
              <w:rPr>
                <w:lang w:val="en-US"/>
              </w:rPr>
            </w:pPr>
          </w:p>
          <w:p w14:paraId="2207BE22" w14:textId="77777777" w:rsidR="001954AE" w:rsidRPr="00167F98" w:rsidRDefault="001954AE" w:rsidP="00410CB0">
            <w:pPr>
              <w:pStyle w:val="StandardDEEN"/>
              <w:numPr>
                <w:ilvl w:val="0"/>
                <w:numId w:val="9"/>
              </w:numPr>
              <w:spacing w:before="0"/>
              <w:rPr>
                <w:lang w:val="en-US"/>
              </w:rPr>
            </w:pPr>
            <w:r w:rsidRPr="00167F98">
              <w:rPr>
                <w:lang w:val="en-US"/>
              </w:rPr>
              <w:t xml:space="preserve">Methods of manufacture or production and logistics processes </w:t>
            </w:r>
          </w:p>
          <w:p w14:paraId="1E15EED4" w14:textId="77777777" w:rsidR="001954AE" w:rsidRPr="00167F98" w:rsidRDefault="001954AE" w:rsidP="00410CB0">
            <w:pPr>
              <w:pStyle w:val="StandardDEEN"/>
              <w:numPr>
                <w:ilvl w:val="0"/>
                <w:numId w:val="9"/>
              </w:numPr>
              <w:spacing w:before="0"/>
              <w:rPr>
                <w:lang w:val="en-US"/>
              </w:rPr>
            </w:pPr>
            <w:r w:rsidRPr="00167F98">
              <w:rPr>
                <w:lang w:val="en-US"/>
              </w:rPr>
              <w:t>Relocation of production within a plant or to other plants</w:t>
            </w:r>
          </w:p>
          <w:p w14:paraId="4A77F1A3" w14:textId="77777777" w:rsidR="00957768" w:rsidRPr="00167F98" w:rsidRDefault="00957768" w:rsidP="00957768">
            <w:pPr>
              <w:pStyle w:val="StandardDEEN"/>
              <w:spacing w:before="0"/>
              <w:rPr>
                <w:lang w:val="en-US"/>
              </w:rPr>
            </w:pPr>
          </w:p>
          <w:p w14:paraId="56A13336" w14:textId="638EC9B3" w:rsidR="00957768" w:rsidRPr="00F40173" w:rsidRDefault="001954AE" w:rsidP="00410CB0">
            <w:pPr>
              <w:pStyle w:val="StandardDEEN"/>
              <w:numPr>
                <w:ilvl w:val="0"/>
                <w:numId w:val="9"/>
              </w:numPr>
              <w:spacing w:before="0"/>
              <w:rPr>
                <w:lang w:val="en-US"/>
              </w:rPr>
            </w:pPr>
            <w:r w:rsidRPr="00167F98">
              <w:rPr>
                <w:lang w:val="en-US"/>
              </w:rPr>
              <w:t xml:space="preserve">Changes by suppliers to products, sub-parts, materials, sub-suppliers of raw </w:t>
            </w:r>
            <w:r w:rsidR="00957768" w:rsidRPr="00167F98">
              <w:rPr>
                <w:lang w:val="en-US"/>
              </w:rPr>
              <w:t>materials, services or software</w:t>
            </w:r>
          </w:p>
          <w:p w14:paraId="01367CA8" w14:textId="77777777" w:rsidR="001954AE" w:rsidRPr="00167F98" w:rsidRDefault="001954AE" w:rsidP="00410CB0">
            <w:pPr>
              <w:pStyle w:val="StandardDEEN"/>
              <w:numPr>
                <w:ilvl w:val="0"/>
                <w:numId w:val="9"/>
              </w:numPr>
              <w:spacing w:before="0"/>
              <w:rPr>
                <w:lang w:val="en-US"/>
              </w:rPr>
            </w:pPr>
            <w:r w:rsidRPr="00167F98">
              <w:rPr>
                <w:lang w:val="en-US"/>
              </w:rPr>
              <w:t xml:space="preserve">Restart of production facilities after shut-down of more than 12 months </w:t>
            </w:r>
          </w:p>
          <w:p w14:paraId="2258EAF0" w14:textId="4522AA7E" w:rsidR="001954AE" w:rsidRPr="00167F98" w:rsidRDefault="00D023B7" w:rsidP="005C29F4">
            <w:pPr>
              <w:pStyle w:val="StandardDEEN"/>
              <w:rPr>
                <w:lang w:val="en-US"/>
              </w:rPr>
            </w:pPr>
            <w:r>
              <w:rPr>
                <w:lang w:val="en-US"/>
              </w:rPr>
              <w:br/>
            </w:r>
            <w:r w:rsidR="001B0DB6" w:rsidRPr="00167F98">
              <w:rPr>
                <w:lang w:val="en-US"/>
              </w:rPr>
              <w:t>In addition, the regulations and</w:t>
            </w:r>
            <w:r w:rsidR="001954AE" w:rsidRPr="00167F98">
              <w:rPr>
                <w:lang w:val="en-US"/>
              </w:rPr>
              <w:t xml:space="preserve"> details </w:t>
            </w:r>
            <w:r w:rsidR="001B0DB6" w:rsidRPr="00167F98">
              <w:rPr>
                <w:lang w:val="en-US"/>
              </w:rPr>
              <w:t>of the</w:t>
            </w:r>
            <w:r w:rsidR="001954AE" w:rsidRPr="00167F98">
              <w:rPr>
                <w:lang w:val="en-US"/>
              </w:rPr>
              <w:t xml:space="preserve"> IATF 16949 and the VDA standards</w:t>
            </w:r>
            <w:r w:rsidR="001B0DB6" w:rsidRPr="00167F98">
              <w:rPr>
                <w:lang w:val="en-US"/>
              </w:rPr>
              <w:t xml:space="preserve"> shall apply</w:t>
            </w:r>
            <w:r w:rsidR="001954AE" w:rsidRPr="00167F98">
              <w:rPr>
                <w:lang w:val="en-US"/>
              </w:rPr>
              <w:t xml:space="preserve">. </w:t>
            </w:r>
          </w:p>
          <w:p w14:paraId="4839AB9E" w14:textId="77777777" w:rsidR="001954AE" w:rsidRPr="00167F98" w:rsidRDefault="001954AE" w:rsidP="005C29F4">
            <w:pPr>
              <w:pStyle w:val="StandardDEEN"/>
              <w:rPr>
                <w:lang w:val="en-US"/>
              </w:rPr>
            </w:pPr>
            <w:r w:rsidRPr="00167F98">
              <w:rPr>
                <w:lang w:val="en-US"/>
              </w:rPr>
              <w:t xml:space="preserve">The Supplier’s duty to provide information also exists if one of the </w:t>
            </w:r>
            <w:proofErr w:type="gramStart"/>
            <w:r w:rsidRPr="00167F98">
              <w:rPr>
                <w:lang w:val="en-US"/>
              </w:rPr>
              <w:t>above mentioned</w:t>
            </w:r>
            <w:proofErr w:type="gramEnd"/>
            <w:r w:rsidRPr="00167F98">
              <w:rPr>
                <w:lang w:val="en-US"/>
              </w:rPr>
              <w:t xml:space="preserve"> points applies to one of its sub-suppliers.</w:t>
            </w:r>
          </w:p>
          <w:p w14:paraId="677994BD" w14:textId="2A171BF1" w:rsidR="001954AE" w:rsidRPr="00167F98" w:rsidRDefault="001954AE" w:rsidP="005C29F4">
            <w:pPr>
              <w:pStyle w:val="StandardDEEN"/>
              <w:rPr>
                <w:strike/>
                <w:lang w:val="en-GB"/>
              </w:rPr>
            </w:pPr>
            <w:r w:rsidRPr="00167F98">
              <w:rPr>
                <w:lang w:val="en-US"/>
              </w:rPr>
              <w:t xml:space="preserve">The Supplier shall also notify KAYSER about changes to the quality assurance procedure. </w:t>
            </w:r>
          </w:p>
          <w:p w14:paraId="075B165E" w14:textId="77777777" w:rsidR="001954AE" w:rsidRPr="00167F98" w:rsidRDefault="001954AE" w:rsidP="005C29F4">
            <w:pPr>
              <w:pStyle w:val="StandardDEEN"/>
              <w:rPr>
                <w:lang w:val="en-US"/>
              </w:rPr>
            </w:pPr>
            <w:r w:rsidRPr="00167F98">
              <w:rPr>
                <w:lang w:val="en-US"/>
              </w:rPr>
              <w:t>The information on a change must be provided in good time and in full to enable KAYSER to check the envisaged change in terms of its consequences. If KAYSER fears disadvantageous effects and therefore objects, the Supply shall not make the change.</w:t>
            </w:r>
          </w:p>
          <w:p w14:paraId="4C75C680" w14:textId="77777777" w:rsidR="00957768" w:rsidRPr="00167F98" w:rsidRDefault="00957768" w:rsidP="00957768">
            <w:pPr>
              <w:pStyle w:val="StandardDEEN"/>
              <w:spacing w:before="0"/>
              <w:rPr>
                <w:lang w:val="en-US"/>
              </w:rPr>
            </w:pPr>
          </w:p>
          <w:p w14:paraId="5D4CF8BC" w14:textId="77777777" w:rsidR="001954AE" w:rsidRPr="00167F98" w:rsidRDefault="001954AE" w:rsidP="005C29F4">
            <w:pPr>
              <w:pStyle w:val="StandardDEEN"/>
              <w:rPr>
                <w:lang w:val="en-GB"/>
              </w:rPr>
            </w:pPr>
            <w:r w:rsidRPr="00167F98">
              <w:rPr>
                <w:lang w:val="en-GB"/>
              </w:rPr>
              <w:t xml:space="preserve">Following a change, a new approval must be made before the first delivery in accordance with § 4. </w:t>
            </w:r>
          </w:p>
          <w:p w14:paraId="6CEF3523" w14:textId="77777777" w:rsidR="001954AE" w:rsidRPr="00167F98" w:rsidRDefault="001954AE" w:rsidP="005C29F4">
            <w:pPr>
              <w:pStyle w:val="StandardDEEN"/>
              <w:rPr>
                <w:lang w:val="en-GB"/>
              </w:rPr>
            </w:pPr>
            <w:r w:rsidRPr="00167F98">
              <w:rPr>
                <w:lang w:val="en-GB"/>
              </w:rPr>
              <w:t>An approval in a change to goods shall require approval by the customer of KAYSER. In this case, the costs for the checks and approval procedures necessitated by the approval shall be borne by the Supplier. Suggestions of the Supplier on cost reduction shall not automatically be covered by this provision and must be agreed separately in terms of approach.</w:t>
            </w:r>
          </w:p>
          <w:p w14:paraId="2FD66EAF" w14:textId="77777777" w:rsidR="001954AE" w:rsidRPr="00167F98" w:rsidRDefault="001954AE" w:rsidP="005C29F4">
            <w:pPr>
              <w:pStyle w:val="StandardDEEN"/>
              <w:rPr>
                <w:lang w:val="en-GB"/>
              </w:rPr>
            </w:pPr>
            <w:r w:rsidRPr="00167F98">
              <w:rPr>
                <w:lang w:val="en-GB"/>
              </w:rPr>
              <w:t>The silence about, or the consent of KAYSER to, the change shall not release the Supplier from its sole responsibility for the properties and reliability of the contractual items.</w:t>
            </w:r>
          </w:p>
          <w:p w14:paraId="506109DD" w14:textId="77777777" w:rsidR="00B66316" w:rsidRPr="00167F98" w:rsidRDefault="001954AE" w:rsidP="00957768">
            <w:pPr>
              <w:pStyle w:val="StandardDEEN"/>
              <w:rPr>
                <w:lang w:val="en-GB"/>
              </w:rPr>
            </w:pPr>
            <w:r w:rsidRPr="00167F98">
              <w:rPr>
                <w:lang w:val="en-GB"/>
              </w:rPr>
              <w:t>If old premanufactured parts exist on the date of change, the unit numbers in respect of which KAYSER has duties to purchase shall be disclosed to KAYSER by the Supplier for a decision to be made.</w:t>
            </w:r>
          </w:p>
        </w:tc>
      </w:tr>
      <w:tr w:rsidR="00167F98" w:rsidRPr="00473277" w14:paraId="0FBECB41" w14:textId="77777777" w:rsidTr="00AD39CE">
        <w:tc>
          <w:tcPr>
            <w:tcW w:w="4988" w:type="dxa"/>
            <w:tcBorders>
              <w:top w:val="nil"/>
              <w:left w:val="nil"/>
              <w:bottom w:val="nil"/>
              <w:right w:val="nil"/>
            </w:tcBorders>
          </w:tcPr>
          <w:p w14:paraId="43B4AE72" w14:textId="75DDFF08" w:rsidR="00B66316" w:rsidRPr="00167F98" w:rsidRDefault="00B66316" w:rsidP="00915912">
            <w:pPr>
              <w:pStyle w:val="berschrift1"/>
              <w:numPr>
                <w:ilvl w:val="0"/>
                <w:numId w:val="0"/>
              </w:numPr>
              <w:ind w:left="357" w:hanging="357"/>
            </w:pPr>
            <w:bookmarkStart w:id="30" w:name="_Toc475973872"/>
            <w:bookmarkStart w:id="31" w:name="_Toc492627346"/>
            <w:bookmarkStart w:id="32" w:name="_Toc492643817"/>
            <w:r w:rsidRPr="00167F98">
              <w:t>§</w:t>
            </w:r>
            <w:bookmarkEnd w:id="30"/>
            <w:r w:rsidRPr="00167F98">
              <w:t xml:space="preserve"> </w:t>
            </w:r>
            <w:r w:rsidR="00424881">
              <w:t>1</w:t>
            </w:r>
            <w:r w:rsidR="00DA67E4">
              <w:t>1</w:t>
            </w:r>
            <w:r w:rsidRPr="00167F98">
              <w:t>. Rückverfolgbarkeit</w:t>
            </w:r>
            <w:bookmarkEnd w:id="31"/>
            <w:bookmarkEnd w:id="32"/>
          </w:p>
          <w:p w14:paraId="05951BE4" w14:textId="77777777" w:rsidR="00B66316" w:rsidRPr="00167F98" w:rsidRDefault="00B66316" w:rsidP="00915912">
            <w:pPr>
              <w:pStyle w:val="StandardDEEN"/>
            </w:pPr>
            <w:r w:rsidRPr="00167F98">
              <w:t>Alle Lieferungen des Lieferanten an KAYSER müssen eindeutig über</w:t>
            </w:r>
          </w:p>
          <w:p w14:paraId="445BB073" w14:textId="77777777" w:rsidR="00B66316" w:rsidRPr="00167F98" w:rsidRDefault="00B66316" w:rsidP="00E47373">
            <w:pPr>
              <w:pStyle w:val="StandardDEEN"/>
            </w:pPr>
            <w:r w:rsidRPr="00167F98">
              <w:t>Lieferschein</w:t>
            </w:r>
          </w:p>
          <w:p w14:paraId="0C8D1594" w14:textId="77777777" w:rsidR="00B66316" w:rsidRPr="00167F98" w:rsidRDefault="00B66316" w:rsidP="00410CB0">
            <w:pPr>
              <w:pStyle w:val="StandardDEEN"/>
              <w:numPr>
                <w:ilvl w:val="0"/>
                <w:numId w:val="5"/>
              </w:numPr>
              <w:spacing w:before="0"/>
            </w:pPr>
            <w:r w:rsidRPr="00167F98">
              <w:t>Bestellnummer / BANF – Nummer</w:t>
            </w:r>
          </w:p>
          <w:p w14:paraId="1B819487" w14:textId="77777777" w:rsidR="00B66316" w:rsidRPr="00167F98" w:rsidRDefault="00B66316" w:rsidP="00410CB0">
            <w:pPr>
              <w:pStyle w:val="StandardDEEN"/>
              <w:numPr>
                <w:ilvl w:val="0"/>
                <w:numId w:val="5"/>
              </w:numPr>
              <w:spacing w:before="0"/>
            </w:pPr>
            <w:r w:rsidRPr="00167F98">
              <w:t>Materialnummer / Materialbezeichnung</w:t>
            </w:r>
          </w:p>
          <w:p w14:paraId="552BB6A4" w14:textId="77777777" w:rsidR="00B66316" w:rsidRPr="00167F98" w:rsidRDefault="00B66316" w:rsidP="00410CB0">
            <w:pPr>
              <w:pStyle w:val="StandardDEEN"/>
              <w:numPr>
                <w:ilvl w:val="0"/>
                <w:numId w:val="5"/>
              </w:numPr>
              <w:spacing w:before="0"/>
            </w:pPr>
            <w:r w:rsidRPr="00167F98">
              <w:t>Sachnummer / Sachbezeichnung</w:t>
            </w:r>
          </w:p>
          <w:p w14:paraId="734BA849" w14:textId="77777777" w:rsidR="00B66316" w:rsidRPr="00167F98" w:rsidRDefault="00E47373" w:rsidP="00E47373">
            <w:pPr>
              <w:pStyle w:val="StandardDEEN"/>
              <w:spacing w:before="0"/>
            </w:pPr>
            <w:r w:rsidRPr="00167F98">
              <w:t>Lab</w:t>
            </w:r>
            <w:r w:rsidR="00B66316" w:rsidRPr="00167F98">
              <w:t>e</w:t>
            </w:r>
            <w:r w:rsidRPr="00167F98">
              <w:t>l</w:t>
            </w:r>
            <w:r w:rsidR="00B66316" w:rsidRPr="00167F98">
              <w:t xml:space="preserve"> auf der Sendung</w:t>
            </w:r>
          </w:p>
          <w:p w14:paraId="3883DB5A" w14:textId="77777777" w:rsidR="00B66316" w:rsidRPr="00167F98" w:rsidRDefault="00B66316" w:rsidP="00410CB0">
            <w:pPr>
              <w:pStyle w:val="StandardDEEN"/>
              <w:numPr>
                <w:ilvl w:val="0"/>
                <w:numId w:val="5"/>
              </w:numPr>
              <w:spacing w:before="0"/>
            </w:pPr>
            <w:r w:rsidRPr="00167F98">
              <w:t>Bestellnummer / BANF – Nummer</w:t>
            </w:r>
          </w:p>
          <w:p w14:paraId="3582D5A7" w14:textId="77777777" w:rsidR="00B66316" w:rsidRPr="00167F98" w:rsidRDefault="00B66316" w:rsidP="00410CB0">
            <w:pPr>
              <w:pStyle w:val="StandardDEEN"/>
              <w:numPr>
                <w:ilvl w:val="0"/>
                <w:numId w:val="5"/>
              </w:numPr>
              <w:spacing w:before="0"/>
            </w:pPr>
            <w:r w:rsidRPr="00167F98">
              <w:t>Materialnummer / Materialbezeichnung</w:t>
            </w:r>
          </w:p>
          <w:p w14:paraId="18F8399F" w14:textId="77777777" w:rsidR="00B66316" w:rsidRPr="00167F98" w:rsidRDefault="00B66316" w:rsidP="00410CB0">
            <w:pPr>
              <w:pStyle w:val="StandardDEEN"/>
              <w:numPr>
                <w:ilvl w:val="0"/>
                <w:numId w:val="5"/>
              </w:numPr>
              <w:spacing w:before="0"/>
            </w:pPr>
            <w:r w:rsidRPr="00167F98">
              <w:t>Menge pro Einheit</w:t>
            </w:r>
          </w:p>
          <w:p w14:paraId="05C7545E" w14:textId="271BC1E3" w:rsidR="00B66316" w:rsidRPr="00167F98" w:rsidRDefault="00B66316" w:rsidP="00915912">
            <w:pPr>
              <w:pStyle w:val="StandardDEEN"/>
            </w:pPr>
            <w:r w:rsidRPr="00167F98">
              <w:t>rückverfolgbar sein. Der Lieferant stellt durch eine geeignete Lagerwirtschaft das FIFO–Prinzip (</w:t>
            </w:r>
            <w:proofErr w:type="spellStart"/>
            <w:r w:rsidRPr="00167F98">
              <w:t>first</w:t>
            </w:r>
            <w:proofErr w:type="spellEnd"/>
            <w:r w:rsidRPr="00167F98">
              <w:t xml:space="preserve"> in </w:t>
            </w:r>
            <w:proofErr w:type="spellStart"/>
            <w:r w:rsidRPr="00167F98">
              <w:t>first</w:t>
            </w:r>
            <w:proofErr w:type="spellEnd"/>
            <w:r w:rsidRPr="00167F98">
              <w:t xml:space="preserve"> out) sicher.</w:t>
            </w:r>
            <w:r w:rsidR="00816680">
              <w:t xml:space="preserve"> </w:t>
            </w:r>
          </w:p>
          <w:p w14:paraId="4AFC5830" w14:textId="5B4D1872" w:rsidR="009D081C" w:rsidRPr="00167F98" w:rsidRDefault="00B66316" w:rsidP="00915912">
            <w:pPr>
              <w:pStyle w:val="StandardDEEN"/>
            </w:pPr>
            <w:r w:rsidRPr="00167F98">
              <w:t xml:space="preserve">Die Anlieferung erfolgt </w:t>
            </w:r>
            <w:proofErr w:type="gramStart"/>
            <w:r w:rsidRPr="00167F98">
              <w:t>gemäß den mitgeltenden Dokument</w:t>
            </w:r>
            <w:proofErr w:type="gramEnd"/>
            <w:r w:rsidRPr="00167F98">
              <w:t xml:space="preserve"> „Abladestellen und Anlieferzeiten KAYSER“</w:t>
            </w:r>
          </w:p>
        </w:tc>
        <w:tc>
          <w:tcPr>
            <w:tcW w:w="4934" w:type="dxa"/>
            <w:tcBorders>
              <w:top w:val="nil"/>
              <w:left w:val="nil"/>
              <w:bottom w:val="nil"/>
              <w:right w:val="nil"/>
            </w:tcBorders>
          </w:tcPr>
          <w:p w14:paraId="4DD01290" w14:textId="3B648D0B" w:rsidR="001954AE" w:rsidRPr="00167F98" w:rsidRDefault="001954AE" w:rsidP="00AB30AD">
            <w:pPr>
              <w:pStyle w:val="berschriftEN1"/>
              <w:numPr>
                <w:ilvl w:val="0"/>
                <w:numId w:val="0"/>
              </w:numPr>
              <w:rPr>
                <w:lang w:val="en-US"/>
              </w:rPr>
            </w:pPr>
            <w:bookmarkStart w:id="33" w:name="_Toc492550467"/>
            <w:bookmarkStart w:id="34" w:name="_Toc492643818"/>
            <w:r w:rsidRPr="00167F98">
              <w:rPr>
                <w:lang w:val="en-US"/>
              </w:rPr>
              <w:t xml:space="preserve">§ </w:t>
            </w:r>
            <w:r w:rsidR="00424881">
              <w:rPr>
                <w:lang w:val="en-US"/>
              </w:rPr>
              <w:t>1</w:t>
            </w:r>
            <w:r w:rsidR="00DA67E4">
              <w:rPr>
                <w:lang w:val="en-US"/>
              </w:rPr>
              <w:t>1</w:t>
            </w:r>
            <w:r w:rsidRPr="00167F98">
              <w:rPr>
                <w:lang w:val="en-US"/>
              </w:rPr>
              <w:t>. Traceability</w:t>
            </w:r>
            <w:bookmarkEnd w:id="33"/>
            <w:bookmarkEnd w:id="34"/>
            <w:r w:rsidRPr="00167F98">
              <w:rPr>
                <w:lang w:val="en-US"/>
              </w:rPr>
              <w:t xml:space="preserve"> </w:t>
            </w:r>
          </w:p>
          <w:p w14:paraId="4264F215" w14:textId="77777777" w:rsidR="00957768" w:rsidRPr="00167F98" w:rsidRDefault="001954AE" w:rsidP="005C29F4">
            <w:pPr>
              <w:pStyle w:val="StandardDEEN"/>
              <w:rPr>
                <w:lang w:val="en-GB"/>
              </w:rPr>
            </w:pPr>
            <w:r w:rsidRPr="00167F98">
              <w:rPr>
                <w:lang w:val="en-GB"/>
              </w:rPr>
              <w:t xml:space="preserve">All deliveries of the Supplier to KAYSER must be clearly traceable via the </w:t>
            </w:r>
          </w:p>
          <w:p w14:paraId="35A7EC51" w14:textId="77777777" w:rsidR="001954AE" w:rsidRPr="00167F98" w:rsidRDefault="00957768" w:rsidP="00E47373">
            <w:pPr>
              <w:pStyle w:val="StandardDEEN"/>
              <w:rPr>
                <w:lang w:val="en-GB"/>
              </w:rPr>
            </w:pPr>
            <w:r w:rsidRPr="00167F98">
              <w:rPr>
                <w:lang w:val="en-GB"/>
              </w:rPr>
              <w:t>D</w:t>
            </w:r>
            <w:r w:rsidR="001954AE" w:rsidRPr="00167F98">
              <w:rPr>
                <w:lang w:val="en-GB"/>
              </w:rPr>
              <w:t>elivery note</w:t>
            </w:r>
          </w:p>
          <w:p w14:paraId="0621AD5B" w14:textId="77777777" w:rsidR="001954AE" w:rsidRPr="00167F98" w:rsidRDefault="001954AE" w:rsidP="00410CB0">
            <w:pPr>
              <w:pStyle w:val="StandardDEEN"/>
              <w:numPr>
                <w:ilvl w:val="0"/>
                <w:numId w:val="10"/>
              </w:numPr>
              <w:spacing w:before="0"/>
              <w:rPr>
                <w:lang w:val="en-GB"/>
              </w:rPr>
            </w:pPr>
            <w:r w:rsidRPr="00167F98">
              <w:rPr>
                <w:lang w:val="en-GB"/>
              </w:rPr>
              <w:t xml:space="preserve">Order number / purchase requisition number </w:t>
            </w:r>
          </w:p>
          <w:p w14:paraId="55042BF0" w14:textId="77777777" w:rsidR="001954AE" w:rsidRPr="00167F98" w:rsidRDefault="001954AE" w:rsidP="00410CB0">
            <w:pPr>
              <w:pStyle w:val="StandardDEEN"/>
              <w:numPr>
                <w:ilvl w:val="0"/>
                <w:numId w:val="10"/>
              </w:numPr>
              <w:spacing w:before="0"/>
              <w:rPr>
                <w:lang w:val="en-GB"/>
              </w:rPr>
            </w:pPr>
            <w:r w:rsidRPr="00167F98">
              <w:rPr>
                <w:lang w:val="en-GB"/>
              </w:rPr>
              <w:t xml:space="preserve">Material number / material name </w:t>
            </w:r>
          </w:p>
          <w:p w14:paraId="1C1672A7" w14:textId="77777777" w:rsidR="001954AE" w:rsidRPr="00167F98" w:rsidRDefault="001954AE" w:rsidP="00410CB0">
            <w:pPr>
              <w:pStyle w:val="StandardDEEN"/>
              <w:numPr>
                <w:ilvl w:val="0"/>
                <w:numId w:val="10"/>
              </w:numPr>
              <w:spacing w:before="0"/>
              <w:rPr>
                <w:lang w:val="en-GB"/>
              </w:rPr>
            </w:pPr>
            <w:r w:rsidRPr="00167F98">
              <w:rPr>
                <w:lang w:val="en-GB"/>
              </w:rPr>
              <w:t>Item number / item name</w:t>
            </w:r>
          </w:p>
          <w:p w14:paraId="4001278B" w14:textId="77777777" w:rsidR="001954AE" w:rsidRPr="00167F98" w:rsidRDefault="001954AE" w:rsidP="00E47373">
            <w:pPr>
              <w:pStyle w:val="StandardDEEN"/>
              <w:spacing w:before="0"/>
              <w:rPr>
                <w:lang w:val="en-GB"/>
              </w:rPr>
            </w:pPr>
            <w:r w:rsidRPr="00167F98">
              <w:rPr>
                <w:lang w:val="en-GB"/>
              </w:rPr>
              <w:t xml:space="preserve">Label on the consignment </w:t>
            </w:r>
          </w:p>
          <w:p w14:paraId="0756DAD6" w14:textId="77777777" w:rsidR="001954AE" w:rsidRPr="00167F98" w:rsidRDefault="001954AE" w:rsidP="00410CB0">
            <w:pPr>
              <w:pStyle w:val="StandardDEEN"/>
              <w:numPr>
                <w:ilvl w:val="0"/>
                <w:numId w:val="10"/>
              </w:numPr>
              <w:spacing w:before="0"/>
              <w:rPr>
                <w:lang w:val="en-GB"/>
              </w:rPr>
            </w:pPr>
            <w:r w:rsidRPr="00167F98">
              <w:rPr>
                <w:lang w:val="en-GB"/>
              </w:rPr>
              <w:t>Order number / purchase requisition number</w:t>
            </w:r>
          </w:p>
          <w:p w14:paraId="2A160754" w14:textId="77777777" w:rsidR="001954AE" w:rsidRPr="00167F98" w:rsidRDefault="001954AE" w:rsidP="00410CB0">
            <w:pPr>
              <w:pStyle w:val="StandardDEEN"/>
              <w:numPr>
                <w:ilvl w:val="0"/>
                <w:numId w:val="10"/>
              </w:numPr>
              <w:spacing w:before="0"/>
              <w:rPr>
                <w:lang w:val="en-GB"/>
              </w:rPr>
            </w:pPr>
            <w:r w:rsidRPr="00167F98">
              <w:rPr>
                <w:lang w:val="en-GB"/>
              </w:rPr>
              <w:t>Material number / material name</w:t>
            </w:r>
          </w:p>
          <w:p w14:paraId="4082EE56" w14:textId="77777777" w:rsidR="001954AE" w:rsidRPr="00167F98" w:rsidRDefault="001954AE" w:rsidP="00410CB0">
            <w:pPr>
              <w:pStyle w:val="StandardDEEN"/>
              <w:numPr>
                <w:ilvl w:val="0"/>
                <w:numId w:val="10"/>
              </w:numPr>
              <w:spacing w:before="0"/>
            </w:pPr>
            <w:proofErr w:type="spellStart"/>
            <w:r w:rsidRPr="00167F98">
              <w:t>Quantity</w:t>
            </w:r>
            <w:proofErr w:type="spellEnd"/>
            <w:r w:rsidRPr="00167F98">
              <w:t xml:space="preserve"> per </w:t>
            </w:r>
            <w:proofErr w:type="spellStart"/>
            <w:r w:rsidRPr="00167F98">
              <w:t>unit</w:t>
            </w:r>
            <w:proofErr w:type="spellEnd"/>
            <w:r w:rsidRPr="00167F98">
              <w:t xml:space="preserve">. </w:t>
            </w:r>
          </w:p>
          <w:p w14:paraId="79FE2B49" w14:textId="77777777" w:rsidR="001954AE" w:rsidRPr="00167F98" w:rsidRDefault="001954AE" w:rsidP="005C29F4">
            <w:pPr>
              <w:pStyle w:val="StandardDEEN"/>
              <w:rPr>
                <w:lang w:val="en-US"/>
              </w:rPr>
            </w:pPr>
            <w:r w:rsidRPr="00167F98">
              <w:rPr>
                <w:lang w:val="en-US"/>
              </w:rPr>
              <w:t>The Supplier shall ensure the FIFO principle (first in first out) through suitable warehouse management.</w:t>
            </w:r>
          </w:p>
          <w:p w14:paraId="26CF8BC1" w14:textId="77777777" w:rsidR="00E47373" w:rsidRPr="00167F98" w:rsidRDefault="00E47373" w:rsidP="006F31AD">
            <w:pPr>
              <w:pStyle w:val="StandardDEEN"/>
              <w:spacing w:before="0"/>
              <w:rPr>
                <w:lang w:val="en-GB"/>
              </w:rPr>
            </w:pPr>
          </w:p>
          <w:p w14:paraId="033124E3" w14:textId="77777777" w:rsidR="00BE5A64" w:rsidRPr="00167F98" w:rsidRDefault="00BE5A64" w:rsidP="006F31AD">
            <w:pPr>
              <w:pStyle w:val="StandardDEEN"/>
              <w:spacing w:before="0"/>
              <w:rPr>
                <w:lang w:val="en-GB"/>
              </w:rPr>
            </w:pPr>
          </w:p>
          <w:p w14:paraId="0F60CDAB" w14:textId="77777777" w:rsidR="00B66316" w:rsidRPr="00167F98" w:rsidRDefault="001954AE" w:rsidP="006F31AD">
            <w:pPr>
              <w:pStyle w:val="StandardDEEN"/>
              <w:spacing w:before="0"/>
              <w:rPr>
                <w:lang w:val="en-GB"/>
              </w:rPr>
            </w:pPr>
            <w:r w:rsidRPr="00167F98">
              <w:rPr>
                <w:lang w:val="en-GB"/>
              </w:rPr>
              <w:t>The delivery shall be made in accordance with the co-applicable document “KAYSER unloading points and delivery times” (</w:t>
            </w:r>
            <w:proofErr w:type="spellStart"/>
            <w:r w:rsidRPr="00167F98">
              <w:rPr>
                <w:i/>
                <w:lang w:val="en-GB"/>
              </w:rPr>
              <w:t>Abladestellen</w:t>
            </w:r>
            <w:proofErr w:type="spellEnd"/>
            <w:r w:rsidRPr="00167F98">
              <w:rPr>
                <w:i/>
                <w:lang w:val="en-GB"/>
              </w:rPr>
              <w:t xml:space="preserve"> und </w:t>
            </w:r>
            <w:proofErr w:type="spellStart"/>
            <w:r w:rsidRPr="00167F98">
              <w:rPr>
                <w:i/>
                <w:lang w:val="en-GB"/>
              </w:rPr>
              <w:t>Anlieferzeiten</w:t>
            </w:r>
            <w:proofErr w:type="spellEnd"/>
            <w:r w:rsidRPr="00167F98">
              <w:rPr>
                <w:i/>
                <w:lang w:val="en-GB"/>
              </w:rPr>
              <w:t xml:space="preserve"> KAYSER</w:t>
            </w:r>
            <w:r w:rsidRPr="00167F98">
              <w:rPr>
                <w:lang w:val="en-GB"/>
              </w:rPr>
              <w:t>)</w:t>
            </w:r>
          </w:p>
        </w:tc>
      </w:tr>
      <w:tr w:rsidR="00695123" w:rsidRPr="00695123" w14:paraId="0A645C96" w14:textId="77777777" w:rsidTr="00AD39CE">
        <w:tc>
          <w:tcPr>
            <w:tcW w:w="4988" w:type="dxa"/>
            <w:tcBorders>
              <w:top w:val="nil"/>
              <w:left w:val="nil"/>
              <w:bottom w:val="nil"/>
              <w:right w:val="nil"/>
            </w:tcBorders>
          </w:tcPr>
          <w:p w14:paraId="68EE9830" w14:textId="23EFC29A" w:rsidR="00B11EF6" w:rsidRPr="00695123" w:rsidRDefault="00B11EF6" w:rsidP="00B11EF6">
            <w:pPr>
              <w:pStyle w:val="berschrift1"/>
              <w:numPr>
                <w:ilvl w:val="0"/>
                <w:numId w:val="0"/>
              </w:numPr>
              <w:ind w:left="357" w:hanging="357"/>
              <w:rPr>
                <w:rFonts w:ascii="Arial" w:hAnsi="Arial" w:cs="Arial"/>
                <w:sz w:val="26"/>
                <w:szCs w:val="26"/>
              </w:rPr>
            </w:pPr>
            <w:r w:rsidRPr="00695123">
              <w:rPr>
                <w:rFonts w:ascii="Arial" w:hAnsi="Arial" w:cs="Arial"/>
                <w:sz w:val="26"/>
                <w:szCs w:val="26"/>
              </w:rPr>
              <w:t>§ 1</w:t>
            </w:r>
            <w:r w:rsidR="00DA67E4" w:rsidRPr="00695123">
              <w:rPr>
                <w:rFonts w:ascii="Arial" w:hAnsi="Arial" w:cs="Arial"/>
                <w:sz w:val="26"/>
                <w:szCs w:val="26"/>
              </w:rPr>
              <w:t>2</w:t>
            </w:r>
            <w:r w:rsidRPr="00695123">
              <w:rPr>
                <w:rFonts w:ascii="Arial" w:hAnsi="Arial" w:cs="Arial"/>
                <w:sz w:val="26"/>
                <w:szCs w:val="26"/>
              </w:rPr>
              <w:t>. Prüfverfahren und Prüfumfang</w:t>
            </w:r>
          </w:p>
          <w:p w14:paraId="0CB172F9" w14:textId="6A810677" w:rsidR="005633C7" w:rsidRPr="00695123" w:rsidRDefault="005633C7" w:rsidP="005633C7">
            <w:pPr>
              <w:pStyle w:val="StandardDEEN"/>
            </w:pPr>
            <w:r w:rsidRPr="00695123">
              <w:t>Safe Launch</w:t>
            </w:r>
          </w:p>
          <w:p w14:paraId="25AED7A1" w14:textId="2A581370" w:rsidR="00626290" w:rsidRPr="00695123" w:rsidRDefault="00626290" w:rsidP="00626290">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Vor Durchführung der Erstbemusterung muss der Lieferant einen Safe Launch-Plan mit Kayser abstimmen. Dieser ist Bestandteil des PLP.</w:t>
            </w:r>
          </w:p>
          <w:p w14:paraId="58A4C02B" w14:textId="4855552D" w:rsidR="005633C7" w:rsidRPr="00695123" w:rsidRDefault="005633C7" w:rsidP="005633C7">
            <w:pPr>
              <w:pStyle w:val="StandardDEEN"/>
            </w:pPr>
            <w:r w:rsidRPr="00695123">
              <w:t xml:space="preserve">Prozessablaufplan: </w:t>
            </w:r>
          </w:p>
          <w:p w14:paraId="1151D2DA" w14:textId="0B12A035" w:rsidR="00ED1210" w:rsidRPr="00695123" w:rsidRDefault="005633C7" w:rsidP="005633C7">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Der Lieferant muss einen Prozessablaufplan erstellen, der die gesamte Prozesskette von der Wareneingangsprüfung bis hin zu Verpackung und Versand abdeckt. Dieser Prozessablaufplan ist Kayser zur gemeinsamen Überprüfung vorzulegen. FMEA und Produktionslenkungsplan müssen mit dem Prozessablaufplan übereinstimmen</w:t>
            </w:r>
          </w:p>
          <w:p w14:paraId="55413A46" w14:textId="44C34D91" w:rsidR="00ED1210" w:rsidRPr="00695123" w:rsidRDefault="00ED1210" w:rsidP="00ED1210">
            <w:pPr>
              <w:pStyle w:val="StandardDEEN"/>
            </w:pPr>
            <w:r w:rsidRPr="00695123">
              <w:t>Produktionslenkungsplan</w:t>
            </w:r>
            <w:r w:rsidR="000F7B05" w:rsidRPr="00695123">
              <w:t>:</w:t>
            </w:r>
          </w:p>
          <w:p w14:paraId="59827641" w14:textId="7CFF906C" w:rsidR="00B84753" w:rsidRPr="00695123" w:rsidRDefault="000F7B05" w:rsidP="00ED1210">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Der Produktionslenkungsplan bietet ein Planungsmittel zur präventiven Prozessabsicherung. Die Erstellung erfolgt in einem Team durch systematische Analyse von Fertigungs-, Montage- und Prüfprozessen. Dieses Team sollte sich dabei aus Mitarbeitern der Planung, Fertigung und Qualitätssicherung sowie weiterer zugehöriger Abteilungen zusammensetzen. In den Produktionslenkungsplänen sind die Ergebnisse der Produkt-FMEA, Prozess-FMEA, Erfahrungen von ähnlichen Prozessen und Produkten, sowie Anwendung von Verbesserungsmethoden zu berücksichtigen. Während des Produktentstehungsprozesses muss der Produktionslenkungsplan für die Phasen</w:t>
            </w:r>
            <w:r w:rsidR="00E51052" w:rsidRPr="00695123">
              <w:rPr>
                <w:rFonts w:ascii="Arial" w:eastAsia="Times New Roman" w:hAnsi="Arial" w:cs="Arial"/>
                <w:kern w:val="0"/>
                <w:sz w:val="20"/>
                <w:szCs w:val="20"/>
                <w:lang w:eastAsia="de-DE"/>
                <w14:ligatures w14:val="none"/>
              </w:rPr>
              <w:t xml:space="preserve"> </w:t>
            </w:r>
            <w:r w:rsidRPr="00695123">
              <w:rPr>
                <w:rFonts w:ascii="Arial" w:eastAsia="Times New Roman" w:hAnsi="Arial" w:cs="Arial"/>
                <w:kern w:val="0"/>
                <w:sz w:val="20"/>
                <w:szCs w:val="20"/>
                <w:lang w:eastAsia="de-DE"/>
                <w14:ligatures w14:val="none"/>
              </w:rPr>
              <w:t>Prototypen</w:t>
            </w:r>
            <w:r w:rsidR="00E51052" w:rsidRPr="00695123">
              <w:rPr>
                <w:rFonts w:ascii="Arial" w:eastAsia="Times New Roman" w:hAnsi="Arial" w:cs="Arial"/>
                <w:kern w:val="0"/>
                <w:sz w:val="20"/>
                <w:szCs w:val="20"/>
                <w:lang w:eastAsia="de-DE"/>
                <w14:ligatures w14:val="none"/>
              </w:rPr>
              <w:t>,</w:t>
            </w:r>
            <w:r w:rsidRPr="00695123">
              <w:rPr>
                <w:rFonts w:ascii="Arial" w:eastAsia="Times New Roman" w:hAnsi="Arial" w:cs="Arial"/>
                <w:kern w:val="0"/>
                <w:sz w:val="20"/>
                <w:szCs w:val="20"/>
                <w:lang w:eastAsia="de-DE"/>
                <w14:ligatures w14:val="none"/>
              </w:rPr>
              <w:t xml:space="preserve"> Vorserie, Safe Launch und Serie erstellt werden. Für besondere Merkmale müssen die Prüfintervalle mengenbasiert festgelegt werden. Die </w:t>
            </w:r>
            <w:r w:rsidR="00E51052" w:rsidRPr="00695123">
              <w:rPr>
                <w:rFonts w:ascii="Arial" w:eastAsia="Times New Roman" w:hAnsi="Arial" w:cs="Arial"/>
                <w:kern w:val="0"/>
                <w:sz w:val="20"/>
                <w:szCs w:val="20"/>
                <w:lang w:eastAsia="de-DE"/>
                <w14:ligatures w14:val="none"/>
              </w:rPr>
              <w:t xml:space="preserve">jährliche </w:t>
            </w:r>
            <w:proofErr w:type="spellStart"/>
            <w:r w:rsidRPr="00695123">
              <w:rPr>
                <w:rFonts w:ascii="Arial" w:eastAsia="Times New Roman" w:hAnsi="Arial" w:cs="Arial"/>
                <w:kern w:val="0"/>
                <w:sz w:val="20"/>
                <w:szCs w:val="20"/>
                <w:lang w:eastAsia="de-DE"/>
                <w14:ligatures w14:val="none"/>
              </w:rPr>
              <w:t>Requalifikationsprüfung</w:t>
            </w:r>
            <w:proofErr w:type="spellEnd"/>
            <w:r w:rsidRPr="00695123">
              <w:rPr>
                <w:rFonts w:ascii="Arial" w:eastAsia="Times New Roman" w:hAnsi="Arial" w:cs="Arial"/>
                <w:kern w:val="0"/>
                <w:sz w:val="20"/>
                <w:szCs w:val="20"/>
                <w:lang w:eastAsia="de-DE"/>
                <w14:ligatures w14:val="none"/>
              </w:rPr>
              <w:t xml:space="preserve"> muss im Produktionslenkungsplan enthalten sein. Eine detaillierte Beschreibung der Vorgehensweise zur Erstellung eines Produktionslenkungsplans ist im </w:t>
            </w:r>
            <w:proofErr w:type="gramStart"/>
            <w:r w:rsidRPr="00695123">
              <w:rPr>
                <w:rFonts w:ascii="Arial" w:eastAsia="Times New Roman" w:hAnsi="Arial" w:cs="Arial"/>
                <w:kern w:val="0"/>
                <w:sz w:val="20"/>
                <w:szCs w:val="20"/>
                <w:lang w:eastAsia="de-DE"/>
                <w14:ligatures w14:val="none"/>
              </w:rPr>
              <w:t>VDA</w:t>
            </w:r>
            <w:r w:rsidR="00E51052" w:rsidRPr="00695123">
              <w:rPr>
                <w:rFonts w:ascii="Arial" w:eastAsia="Times New Roman" w:hAnsi="Arial" w:cs="Arial"/>
                <w:kern w:val="0"/>
                <w:sz w:val="20"/>
                <w:szCs w:val="20"/>
                <w:lang w:eastAsia="de-DE"/>
                <w14:ligatures w14:val="none"/>
              </w:rPr>
              <w:t xml:space="preserve"> </w:t>
            </w:r>
            <w:r w:rsidRPr="00695123">
              <w:rPr>
                <w:rFonts w:ascii="Arial" w:eastAsia="Times New Roman" w:hAnsi="Arial" w:cs="Arial"/>
                <w:kern w:val="0"/>
                <w:sz w:val="20"/>
                <w:szCs w:val="20"/>
                <w:lang w:eastAsia="de-DE"/>
                <w14:ligatures w14:val="none"/>
              </w:rPr>
              <w:t>Band</w:t>
            </w:r>
            <w:proofErr w:type="gramEnd"/>
            <w:r w:rsidRPr="00695123">
              <w:rPr>
                <w:rFonts w:ascii="Arial" w:eastAsia="Times New Roman" w:hAnsi="Arial" w:cs="Arial"/>
                <w:kern w:val="0"/>
                <w:sz w:val="20"/>
                <w:szCs w:val="20"/>
                <w:lang w:eastAsia="de-DE"/>
                <w14:ligatures w14:val="none"/>
              </w:rPr>
              <w:t xml:space="preserve"> 4 und in der AIAG APQP vorhanden.</w:t>
            </w:r>
          </w:p>
          <w:p w14:paraId="34E9A413" w14:textId="11BB36E1" w:rsidR="00685B3E" w:rsidRPr="00695123" w:rsidRDefault="00841E4A" w:rsidP="00685B3E">
            <w:pPr>
              <w:pStyle w:val="StandardDEEN"/>
            </w:pPr>
            <w:r w:rsidRPr="00695123">
              <w:t>Prüfplanung</w:t>
            </w:r>
          </w:p>
          <w:p w14:paraId="4F0ACDFC" w14:textId="77DE8EC3" w:rsidR="00841E4A" w:rsidRPr="00695123" w:rsidRDefault="00841E4A" w:rsidP="00841E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 xml:space="preserve">Ausgehend vom Produktionslenkungsplan muss der Lieferant einen Prüfplan erstellen, aus dem alle </w:t>
            </w:r>
            <w:proofErr w:type="gramStart"/>
            <w:r w:rsidRPr="00695123">
              <w:rPr>
                <w:rFonts w:ascii="Arial" w:eastAsia="Times New Roman" w:hAnsi="Arial" w:cs="Arial"/>
                <w:kern w:val="0"/>
                <w:sz w:val="20"/>
                <w:szCs w:val="20"/>
                <w:lang w:eastAsia="de-DE"/>
                <w14:ligatures w14:val="none"/>
              </w:rPr>
              <w:t>zu prüfenden Merkmale</w:t>
            </w:r>
            <w:proofErr w:type="gramEnd"/>
            <w:r w:rsidRPr="00695123">
              <w:rPr>
                <w:rFonts w:ascii="Arial" w:eastAsia="Times New Roman" w:hAnsi="Arial" w:cs="Arial"/>
                <w:kern w:val="0"/>
                <w:sz w:val="20"/>
                <w:szCs w:val="20"/>
                <w:lang w:eastAsia="de-DE"/>
                <w14:ligatures w14:val="none"/>
              </w:rPr>
              <w:t xml:space="preserve"> mit den zugehörigen</w:t>
            </w:r>
            <w:r w:rsidRPr="00695123">
              <w:t xml:space="preserve"> </w:t>
            </w:r>
            <w:r w:rsidRPr="00695123">
              <w:rPr>
                <w:rFonts w:ascii="Arial" w:eastAsia="Times New Roman" w:hAnsi="Arial" w:cs="Arial"/>
                <w:kern w:val="0"/>
                <w:sz w:val="20"/>
                <w:szCs w:val="20"/>
                <w:lang w:eastAsia="de-DE"/>
                <w14:ligatures w14:val="none"/>
              </w:rPr>
              <w:t>Prüfmitteln für jeden Arbeitsgang hervorgehen. Weiterhin sind die Prüffrequenz und die Dokumentationsart der Ergebnisse im Prüfplan festzulegen.</w:t>
            </w:r>
          </w:p>
          <w:p w14:paraId="2CE84AD9" w14:textId="49487222" w:rsidR="00B84753" w:rsidRPr="00695123" w:rsidRDefault="00B84753" w:rsidP="00B84753">
            <w:pPr>
              <w:pStyle w:val="StandardDEEN"/>
            </w:pPr>
            <w:r w:rsidRPr="00695123">
              <w:t>Abstimmung der Serienüberwachung</w:t>
            </w:r>
          </w:p>
          <w:p w14:paraId="245160BA" w14:textId="540387D7" w:rsidR="00B11EF6" w:rsidRPr="00695123" w:rsidRDefault="00E32C99" w:rsidP="000F2FB3">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Grundsätzlich sind alle Produkt- und Prozessmerkmale wichtig und müssen eingehalten werden. Besondere Merkmale erfordern den Nachweis der Prozessfähigkeit. Zu diesem Zweck muss der Lieferant diese Merkmale mit geeigneten Methoden, z.B. mit Qualitätsregelkarten (SPC), überwachen. Ist die Prozessfähigkeit nicht umsetzbar, so hat eine 100%-Prüfung zu erfolgen. Nicht messbare oder nur zerstörend prüfbare besondere Merkmale sind mit geeigneten Methoden zu überwachen und zu dokumentieren. Prüfintervalle und Stichprobengrößen sind hierbei festzulegen. Die geplante Serienüberwachung der besonderen Merkmale ist mit Kayser im Rahmen des APQP abzustimmen. Diese Abstimmung ist im Produktionslenkungsplan entsprechend zu dokumentieren.</w:t>
            </w:r>
            <w:r w:rsidR="00B11EF6" w:rsidRPr="00695123">
              <w:rPr>
                <w:rFonts w:ascii="Arial" w:eastAsia="Times New Roman" w:hAnsi="Arial" w:cs="Arial"/>
                <w:kern w:val="0"/>
                <w:sz w:val="20"/>
                <w:szCs w:val="20"/>
                <w:lang w:eastAsia="de-DE"/>
                <w14:ligatures w14:val="none"/>
              </w:rPr>
              <w:br/>
            </w:r>
          </w:p>
          <w:p w14:paraId="07B8F89F" w14:textId="0A24D7BF" w:rsidR="00B11EF6" w:rsidRPr="00695123" w:rsidRDefault="00B11EF6" w:rsidP="00B11EF6">
            <w:pPr>
              <w:pStyle w:val="StandardDEEN"/>
            </w:pPr>
            <w:r w:rsidRPr="00695123">
              <w:t xml:space="preserve">Kayser führt nach Erhalt der Lieferung eine Wareneingangskontrolle durch, die ausschließlich eine Identitäts-, Mengen- und Vollständigkeitskontrolle sowie eine </w:t>
            </w:r>
            <w:r w:rsidR="009E7FC8" w:rsidRPr="00695123">
              <w:t xml:space="preserve">visuelle </w:t>
            </w:r>
            <w:r w:rsidRPr="00695123">
              <w:t xml:space="preserve">Prüfung auf </w:t>
            </w:r>
            <w:r w:rsidR="009E7FC8" w:rsidRPr="00695123">
              <w:t xml:space="preserve">äußere </w:t>
            </w:r>
            <w:r w:rsidRPr="00695123">
              <w:t>Transportschäden umfasst. Kayser wird dem Lieferanten die in diesem Zusammenhang fest -gestellten Mängel unverzüglich, spätestens jedoch nach 10 Werktagen (Montag-Freitag) schriftlich anzeigen. Kayser behält sich das Recht vor, nach Erhalt der Ware weitere Kontrollen durchzuführen (z.B. Geometrie, Funktion, Oberfläche). Nicht offensichtliche Mängel wird Kayser dem Lieferanten unter Berücksichtigung der üblichen Geschäftsabläufe unverzüglich, spätestens jedoch nach 10 Werktagen (Montag-Freitag) schriftlich anzeigen. Insoweit verzichtet der Lieferant auf den Einwand der verspäteten Mängelrüge</w:t>
            </w:r>
          </w:p>
        </w:tc>
        <w:tc>
          <w:tcPr>
            <w:tcW w:w="4934" w:type="dxa"/>
            <w:tcBorders>
              <w:top w:val="nil"/>
              <w:left w:val="nil"/>
              <w:bottom w:val="nil"/>
              <w:right w:val="nil"/>
            </w:tcBorders>
          </w:tcPr>
          <w:p w14:paraId="16D68C68" w14:textId="41361A58" w:rsidR="00B11EF6" w:rsidRPr="00695123" w:rsidRDefault="00B11EF6" w:rsidP="00B11EF6">
            <w:pPr>
              <w:pStyle w:val="berschrift1"/>
              <w:numPr>
                <w:ilvl w:val="0"/>
                <w:numId w:val="0"/>
              </w:numPr>
              <w:ind w:left="357" w:hanging="357"/>
              <w:rPr>
                <w:rFonts w:ascii="Arial" w:hAnsi="Arial" w:cs="Arial"/>
                <w:sz w:val="26"/>
                <w:szCs w:val="26"/>
                <w:lang w:val="en-US"/>
              </w:rPr>
            </w:pPr>
            <w:r w:rsidRPr="00695123">
              <w:rPr>
                <w:rFonts w:ascii="Arial" w:hAnsi="Arial" w:cs="Arial"/>
                <w:sz w:val="26"/>
                <w:szCs w:val="26"/>
                <w:lang w:val="en-US"/>
              </w:rPr>
              <w:t>§ 1</w:t>
            </w:r>
            <w:r w:rsidR="00DA67E4" w:rsidRPr="00695123">
              <w:rPr>
                <w:rFonts w:ascii="Arial" w:hAnsi="Arial" w:cs="Arial"/>
                <w:sz w:val="26"/>
                <w:szCs w:val="26"/>
                <w:lang w:val="en-US"/>
              </w:rPr>
              <w:t>2</w:t>
            </w:r>
            <w:r w:rsidRPr="00695123">
              <w:rPr>
                <w:rFonts w:ascii="Arial" w:hAnsi="Arial" w:cs="Arial"/>
                <w:sz w:val="26"/>
                <w:szCs w:val="26"/>
                <w:lang w:val="en-US"/>
              </w:rPr>
              <w:t xml:space="preserve">. Test procedure and scope </w:t>
            </w:r>
          </w:p>
          <w:p w14:paraId="766DB6B2" w14:textId="02A18B89" w:rsidR="005633C7" w:rsidRPr="00695123" w:rsidRDefault="005633C7" w:rsidP="00B11EF6">
            <w:pPr>
              <w:pStyle w:val="StandardDEEN"/>
              <w:rPr>
                <w:lang w:val="en-US"/>
              </w:rPr>
            </w:pPr>
            <w:r w:rsidRPr="00695123">
              <w:rPr>
                <w:lang w:val="en-US"/>
              </w:rPr>
              <w:t>Safe Launch Plan</w:t>
            </w:r>
          </w:p>
          <w:p w14:paraId="5130AD7D" w14:textId="5BCBB74C" w:rsidR="00626290" w:rsidRPr="00695123" w:rsidRDefault="00626290" w:rsidP="00626290">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The supplier shall agree upon a Safe Launch Plan prior to the PPAP run. This is part of the CP.</w:t>
            </w:r>
          </w:p>
          <w:p w14:paraId="676DEDC0" w14:textId="77777777" w:rsidR="000F2FB3" w:rsidRPr="00695123" w:rsidRDefault="000F2FB3" w:rsidP="00626290">
            <w:pPr>
              <w:pStyle w:val="KeinLeerraum"/>
              <w:rPr>
                <w:rFonts w:ascii="Arial" w:eastAsia="Times New Roman" w:hAnsi="Arial" w:cs="Arial"/>
                <w:kern w:val="0"/>
                <w:sz w:val="20"/>
                <w:szCs w:val="20"/>
                <w:lang w:val="en-US" w:eastAsia="de-DE"/>
                <w14:ligatures w14:val="none"/>
              </w:rPr>
            </w:pPr>
          </w:p>
          <w:p w14:paraId="0E145DDC" w14:textId="5DC1FF58" w:rsidR="005633C7" w:rsidRPr="00695123" w:rsidRDefault="005633C7" w:rsidP="00B11EF6">
            <w:pPr>
              <w:pStyle w:val="StandardDEEN"/>
              <w:rPr>
                <w:lang w:val="en-US"/>
              </w:rPr>
            </w:pPr>
            <w:r w:rsidRPr="00695123">
              <w:rPr>
                <w:lang w:val="en-US"/>
              </w:rPr>
              <w:t>Process Flow Chart</w:t>
            </w:r>
          </w:p>
          <w:p w14:paraId="1E95A98D" w14:textId="43AFBF93" w:rsidR="005633C7" w:rsidRPr="00695123" w:rsidRDefault="005633C7" w:rsidP="005633C7">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The supplier shall provide a Process Flow Chart for the entire process chain from receiving inspection to packaging and shipping. This process flow chart shall be presented to Kayser for common review. FMEA and Control Plan shall align with Process Flow Chart</w:t>
            </w:r>
          </w:p>
          <w:p w14:paraId="59B983C9" w14:textId="77777777" w:rsidR="000F2FB3" w:rsidRPr="00695123" w:rsidRDefault="000F2FB3" w:rsidP="005633C7">
            <w:pPr>
              <w:pStyle w:val="KeinLeerraum"/>
              <w:rPr>
                <w:rFonts w:ascii="Arial" w:eastAsia="Times New Roman" w:hAnsi="Arial" w:cs="Arial"/>
                <w:kern w:val="0"/>
                <w:sz w:val="20"/>
                <w:szCs w:val="20"/>
                <w:lang w:val="en-US" w:eastAsia="de-DE"/>
                <w14:ligatures w14:val="none"/>
              </w:rPr>
            </w:pPr>
          </w:p>
          <w:p w14:paraId="5F53FC01" w14:textId="3AB86257" w:rsidR="00E51052" w:rsidRPr="00695123" w:rsidRDefault="00E51052" w:rsidP="00E51052">
            <w:pPr>
              <w:pStyle w:val="StandardDEEN"/>
              <w:rPr>
                <w:lang w:val="en-US"/>
              </w:rPr>
            </w:pPr>
            <w:r w:rsidRPr="00695123">
              <w:rPr>
                <w:lang w:val="en-US"/>
              </w:rPr>
              <w:t>Control Plan</w:t>
            </w:r>
          </w:p>
          <w:p w14:paraId="1A1025F5" w14:textId="788CF494" w:rsidR="00841E4A" w:rsidRPr="00695123" w:rsidRDefault="00E51052" w:rsidP="00E51052">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 xml:space="preserve">The control plan presents a planning tool for preventive process security. It is implemented by a team through systematic analysis of production, assembly and test processes. This team should be made up of employees from Planning, Manufacturing and Quality Assurance as well as other related departments. The results of product and process FMEAs, experiences with similar processes and products, as well as the application of improvement methods shall be taken into consideration in the control plans. In the product development process, the control plan shall be created for the phases of </w:t>
            </w:r>
            <w:proofErr w:type="gramStart"/>
            <w:r w:rsidRPr="00695123">
              <w:rPr>
                <w:rFonts w:ascii="Arial" w:eastAsia="Times New Roman" w:hAnsi="Arial" w:cs="Arial"/>
                <w:kern w:val="0"/>
                <w:sz w:val="20"/>
                <w:szCs w:val="20"/>
                <w:lang w:val="en-US" w:eastAsia="de-DE"/>
                <w14:ligatures w14:val="none"/>
              </w:rPr>
              <w:t>prototypes,  pre</w:t>
            </w:r>
            <w:proofErr w:type="gramEnd"/>
            <w:r w:rsidRPr="00695123">
              <w:rPr>
                <w:rFonts w:ascii="Arial" w:eastAsia="Times New Roman" w:hAnsi="Arial" w:cs="Arial"/>
                <w:kern w:val="0"/>
                <w:sz w:val="20"/>
                <w:szCs w:val="20"/>
                <w:lang w:val="en-US" w:eastAsia="de-DE"/>
                <w14:ligatures w14:val="none"/>
              </w:rPr>
              <w:t xml:space="preserve">-series production, safe launch and series production. For special characteristics, the sample plan frequency shall be based on quantity. </w:t>
            </w:r>
            <w:proofErr w:type="gramStart"/>
            <w:r w:rsidRPr="00695123">
              <w:rPr>
                <w:rFonts w:ascii="Arial" w:eastAsia="Times New Roman" w:hAnsi="Arial" w:cs="Arial"/>
                <w:kern w:val="0"/>
                <w:sz w:val="20"/>
                <w:szCs w:val="20"/>
                <w:lang w:val="en-US" w:eastAsia="de-DE"/>
                <w14:ligatures w14:val="none"/>
              </w:rPr>
              <w:t xml:space="preserve">The </w:t>
            </w:r>
            <w:r w:rsidR="004841ED" w:rsidRPr="00695123">
              <w:rPr>
                <w:rFonts w:ascii="Arial" w:eastAsia="Times New Roman" w:hAnsi="Arial" w:cs="Arial"/>
                <w:kern w:val="0"/>
                <w:sz w:val="20"/>
                <w:szCs w:val="20"/>
                <w:lang w:val="en-US" w:eastAsia="de-DE"/>
                <w14:ligatures w14:val="none"/>
              </w:rPr>
              <w:t xml:space="preserve"> a</w:t>
            </w:r>
            <w:r w:rsidRPr="00695123">
              <w:rPr>
                <w:rFonts w:ascii="Arial" w:eastAsia="Times New Roman" w:hAnsi="Arial" w:cs="Arial"/>
                <w:kern w:val="0"/>
                <w:sz w:val="20"/>
                <w:szCs w:val="20"/>
                <w:lang w:val="en-US" w:eastAsia="de-DE"/>
                <w14:ligatures w14:val="none"/>
              </w:rPr>
              <w:t>nnual</w:t>
            </w:r>
            <w:proofErr w:type="gramEnd"/>
            <w:r w:rsidRPr="00695123">
              <w:rPr>
                <w:rFonts w:ascii="Arial" w:eastAsia="Times New Roman" w:hAnsi="Arial" w:cs="Arial"/>
                <w:kern w:val="0"/>
                <w:sz w:val="20"/>
                <w:szCs w:val="20"/>
                <w:lang w:val="en-US" w:eastAsia="de-DE"/>
                <w14:ligatures w14:val="none"/>
              </w:rPr>
              <w:t xml:space="preserve"> </w:t>
            </w:r>
            <w:r w:rsidR="004841ED" w:rsidRPr="00695123">
              <w:rPr>
                <w:rFonts w:ascii="Arial" w:eastAsia="Times New Roman" w:hAnsi="Arial" w:cs="Arial"/>
                <w:kern w:val="0"/>
                <w:sz w:val="20"/>
                <w:szCs w:val="20"/>
                <w:lang w:val="en-US" w:eastAsia="de-DE"/>
                <w14:ligatures w14:val="none"/>
              </w:rPr>
              <w:t>Requalification</w:t>
            </w:r>
            <w:r w:rsidRPr="00695123">
              <w:rPr>
                <w:rFonts w:ascii="Arial" w:eastAsia="Times New Roman" w:hAnsi="Arial" w:cs="Arial"/>
                <w:kern w:val="0"/>
                <w:sz w:val="20"/>
                <w:szCs w:val="20"/>
                <w:lang w:val="en-US" w:eastAsia="de-DE"/>
                <w14:ligatures w14:val="none"/>
              </w:rPr>
              <w:t xml:space="preserve"> shall be included in the Control Plan. A detailed description of the process for preparing a control plan is included in VDA Volume 4 and in AIAG APQP.</w:t>
            </w:r>
          </w:p>
          <w:p w14:paraId="003DB97E" w14:textId="77777777" w:rsidR="000F2FB3" w:rsidRPr="00695123" w:rsidRDefault="000F2FB3" w:rsidP="00E51052">
            <w:pPr>
              <w:pStyle w:val="KeinLeerraum"/>
              <w:rPr>
                <w:rFonts w:ascii="Arial" w:eastAsia="Times New Roman" w:hAnsi="Arial" w:cs="Arial"/>
                <w:kern w:val="0"/>
                <w:sz w:val="20"/>
                <w:szCs w:val="20"/>
                <w:lang w:val="en-US" w:eastAsia="de-DE"/>
                <w14:ligatures w14:val="none"/>
              </w:rPr>
            </w:pPr>
          </w:p>
          <w:p w14:paraId="71146FC3" w14:textId="77777777" w:rsidR="000F2FB3" w:rsidRPr="00695123" w:rsidRDefault="000F2FB3" w:rsidP="00E51052">
            <w:pPr>
              <w:pStyle w:val="KeinLeerraum"/>
              <w:rPr>
                <w:rFonts w:ascii="Arial" w:eastAsia="Times New Roman" w:hAnsi="Arial" w:cs="Arial"/>
                <w:kern w:val="0"/>
                <w:sz w:val="20"/>
                <w:szCs w:val="20"/>
                <w:lang w:val="en-US" w:eastAsia="de-DE"/>
                <w14:ligatures w14:val="none"/>
              </w:rPr>
            </w:pPr>
          </w:p>
          <w:p w14:paraId="6CB9E0AC" w14:textId="77777777" w:rsidR="000F2FB3" w:rsidRPr="00695123" w:rsidRDefault="000F2FB3" w:rsidP="00E51052">
            <w:pPr>
              <w:pStyle w:val="KeinLeerraum"/>
              <w:rPr>
                <w:rFonts w:ascii="Arial" w:eastAsia="Times New Roman" w:hAnsi="Arial" w:cs="Arial"/>
                <w:kern w:val="0"/>
                <w:sz w:val="20"/>
                <w:szCs w:val="20"/>
                <w:lang w:val="en-US" w:eastAsia="de-DE"/>
                <w14:ligatures w14:val="none"/>
              </w:rPr>
            </w:pPr>
          </w:p>
          <w:p w14:paraId="3A1D5F26" w14:textId="77777777" w:rsidR="00A66F27" w:rsidRPr="00695123" w:rsidRDefault="00A66F27" w:rsidP="00E51052">
            <w:pPr>
              <w:pStyle w:val="KeinLeerraum"/>
              <w:rPr>
                <w:rFonts w:ascii="Arial" w:eastAsia="Times New Roman" w:hAnsi="Arial" w:cs="Arial"/>
                <w:kern w:val="0"/>
                <w:sz w:val="20"/>
                <w:szCs w:val="20"/>
                <w:lang w:val="en-US" w:eastAsia="de-DE"/>
                <w14:ligatures w14:val="none"/>
              </w:rPr>
            </w:pPr>
          </w:p>
          <w:p w14:paraId="706040E4" w14:textId="58713EBC" w:rsidR="00841E4A" w:rsidRPr="00695123" w:rsidRDefault="00841E4A" w:rsidP="00841E4A">
            <w:pPr>
              <w:pStyle w:val="StandardDEEN"/>
              <w:rPr>
                <w:lang w:val="en-US"/>
              </w:rPr>
            </w:pPr>
            <w:r w:rsidRPr="00695123">
              <w:rPr>
                <w:lang w:val="en-US"/>
              </w:rPr>
              <w:t>Inspection planning</w:t>
            </w:r>
          </w:p>
          <w:p w14:paraId="5AEF52C0" w14:textId="56BE91A5" w:rsidR="00841E4A" w:rsidRPr="00695123" w:rsidRDefault="00841E4A" w:rsidP="00841E4A">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Based on the control plan, the supplier shall create an inspection plan, which includes all characteristics to be inspected with the appropriate inspection equipment for each operation. In addition, the inspection frequency and type of documentation of the results shall be defined in the inspection plan.</w:t>
            </w:r>
          </w:p>
          <w:p w14:paraId="7170A593" w14:textId="77777777" w:rsidR="000F2FB3" w:rsidRPr="00695123" w:rsidRDefault="000F2FB3" w:rsidP="00841E4A">
            <w:pPr>
              <w:pStyle w:val="KeinLeerraum"/>
              <w:rPr>
                <w:rFonts w:ascii="Arial" w:eastAsia="Times New Roman" w:hAnsi="Arial" w:cs="Arial"/>
                <w:kern w:val="0"/>
                <w:sz w:val="20"/>
                <w:szCs w:val="20"/>
                <w:lang w:val="en-US" w:eastAsia="de-DE"/>
                <w14:ligatures w14:val="none"/>
              </w:rPr>
            </w:pPr>
          </w:p>
          <w:p w14:paraId="31ED1BE7" w14:textId="1082CB85" w:rsidR="00E32C99" w:rsidRPr="00695123" w:rsidRDefault="00E32C99" w:rsidP="00E32C99">
            <w:pPr>
              <w:pStyle w:val="StandardDEEN"/>
              <w:rPr>
                <w:lang w:val="en-US"/>
              </w:rPr>
            </w:pPr>
            <w:r w:rsidRPr="00695123">
              <w:rPr>
                <w:lang w:val="en-US"/>
              </w:rPr>
              <w:t>Coordination of Production Control</w:t>
            </w:r>
          </w:p>
          <w:p w14:paraId="389E9E78" w14:textId="7BD24641" w:rsidR="00E32C99" w:rsidRPr="00695123" w:rsidRDefault="00E32C99" w:rsidP="00E32C99">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 xml:space="preserve">As a basic principle, all product and process characteristics are important and shall be complied with. Special characteristics require the proof of process capability. For this </w:t>
            </w:r>
            <w:proofErr w:type="gramStart"/>
            <w:r w:rsidRPr="00695123">
              <w:rPr>
                <w:rFonts w:ascii="Arial" w:eastAsia="Times New Roman" w:hAnsi="Arial" w:cs="Arial"/>
                <w:kern w:val="0"/>
                <w:sz w:val="20"/>
                <w:szCs w:val="20"/>
                <w:lang w:val="en-US" w:eastAsia="de-DE"/>
                <w14:ligatures w14:val="none"/>
              </w:rPr>
              <w:t>purpose</w:t>
            </w:r>
            <w:proofErr w:type="gramEnd"/>
            <w:r w:rsidRPr="00695123">
              <w:rPr>
                <w:rFonts w:ascii="Arial" w:eastAsia="Times New Roman" w:hAnsi="Arial" w:cs="Arial"/>
                <w:kern w:val="0"/>
                <w:sz w:val="20"/>
                <w:szCs w:val="20"/>
                <w:lang w:val="en-US" w:eastAsia="de-DE"/>
                <w14:ligatures w14:val="none"/>
              </w:rPr>
              <w:t xml:space="preserve"> the supplier shall monitor these characteristics with suitable methods, e.g. with statistical process control (SPC). If process capability cannot be achieved, 100% inspection shall be carried out. Special characteristics which are not measurable or only measurable by destroying the product shall be monitored and documented with suitable methods. Test intervals and the size of random samples shall be determined and planned. Planned monitoring of the characteristics in series </w:t>
            </w:r>
            <w:r w:rsidR="00EA40F8" w:rsidRPr="00695123">
              <w:rPr>
                <w:rFonts w:ascii="Arial" w:eastAsia="Times New Roman" w:hAnsi="Arial" w:cs="Arial"/>
                <w:kern w:val="0"/>
                <w:sz w:val="20"/>
                <w:szCs w:val="20"/>
                <w:lang w:val="en-US" w:eastAsia="de-DE"/>
                <w14:ligatures w14:val="none"/>
              </w:rPr>
              <w:t>must be coordinated with Kayser as part of the APQP.</w:t>
            </w:r>
            <w:r w:rsidRPr="00695123">
              <w:rPr>
                <w:rFonts w:ascii="Arial" w:eastAsia="Times New Roman" w:hAnsi="Arial" w:cs="Arial"/>
                <w:kern w:val="0"/>
                <w:sz w:val="20"/>
                <w:szCs w:val="20"/>
                <w:lang w:val="en-US" w:eastAsia="de-DE"/>
                <w14:ligatures w14:val="none"/>
              </w:rPr>
              <w:t xml:space="preserve"> This information shall be documented in the Control Plan.</w:t>
            </w:r>
          </w:p>
          <w:p w14:paraId="013B37D9" w14:textId="77777777" w:rsidR="000F2FB3" w:rsidRPr="00695123" w:rsidRDefault="000F2FB3" w:rsidP="00E32C99">
            <w:pPr>
              <w:pStyle w:val="KeinLeerraum"/>
              <w:rPr>
                <w:rFonts w:ascii="Arial" w:eastAsia="Times New Roman" w:hAnsi="Arial" w:cs="Arial"/>
                <w:kern w:val="0"/>
                <w:sz w:val="20"/>
                <w:szCs w:val="20"/>
                <w:lang w:val="en-US" w:eastAsia="de-DE"/>
                <w14:ligatures w14:val="none"/>
              </w:rPr>
            </w:pPr>
          </w:p>
          <w:p w14:paraId="69C6C5AC" w14:textId="77777777" w:rsidR="000F2FB3" w:rsidRPr="00695123" w:rsidRDefault="000F2FB3" w:rsidP="00E32C99">
            <w:pPr>
              <w:pStyle w:val="KeinLeerraum"/>
              <w:rPr>
                <w:rFonts w:ascii="Arial" w:eastAsia="Times New Roman" w:hAnsi="Arial" w:cs="Arial"/>
                <w:kern w:val="0"/>
                <w:sz w:val="20"/>
                <w:szCs w:val="20"/>
                <w:lang w:val="en-US" w:eastAsia="de-DE"/>
                <w14:ligatures w14:val="none"/>
              </w:rPr>
            </w:pPr>
          </w:p>
          <w:p w14:paraId="5E269D10" w14:textId="6F48238B" w:rsidR="00B11EF6" w:rsidRPr="00695123" w:rsidRDefault="00B11EF6" w:rsidP="00B11EF6">
            <w:pPr>
              <w:pStyle w:val="berschriftEN1"/>
              <w:numPr>
                <w:ilvl w:val="0"/>
                <w:numId w:val="0"/>
              </w:numPr>
              <w:rPr>
                <w:rFonts w:ascii="Arial" w:hAnsi="Arial" w:cs="Arial"/>
                <w:b w:val="0"/>
                <w:sz w:val="20"/>
                <w:lang w:val="en-US"/>
              </w:rPr>
            </w:pPr>
            <w:r w:rsidRPr="00695123">
              <w:rPr>
                <w:rFonts w:ascii="Arial" w:hAnsi="Arial" w:cs="Arial"/>
                <w:b w:val="0"/>
                <w:sz w:val="20"/>
                <w:lang w:val="en-US"/>
              </w:rPr>
              <w:t xml:space="preserve">After receipt of the delivery, Kayser shall carry out an incoming goods inspection which shall exclusively comprise an identity, quantity and completeness check and an inspection for transport damage. Kayser shall immediately, the latest however after 10 working days (Monday through Friday) notify the supplier in writing form of the defects ascertained in this connection. Kayser reserves the right to carry out further checks after receipt of the goods (e.g. geometry, function, surface). Kayser shall notify the supplier immediately, the latest however after 10 working days (Monday through Friday) in writing form of any defects which are not obvious, </w:t>
            </w:r>
            <w:proofErr w:type="gramStart"/>
            <w:r w:rsidRPr="00695123">
              <w:rPr>
                <w:rFonts w:ascii="Arial" w:hAnsi="Arial" w:cs="Arial"/>
                <w:b w:val="0"/>
                <w:sz w:val="20"/>
                <w:lang w:val="en-US"/>
              </w:rPr>
              <w:t>taking into account</w:t>
            </w:r>
            <w:proofErr w:type="gramEnd"/>
            <w:r w:rsidRPr="00695123">
              <w:rPr>
                <w:rFonts w:ascii="Arial" w:hAnsi="Arial" w:cs="Arial"/>
                <w:b w:val="0"/>
                <w:sz w:val="20"/>
                <w:lang w:val="en-US"/>
              </w:rPr>
              <w:t xml:space="preserve"> the normal course of business. In this respect, the supplier waives the objection of late notification of defects.</w:t>
            </w:r>
          </w:p>
        </w:tc>
      </w:tr>
      <w:tr w:rsidR="00695123" w:rsidRPr="00695123" w14:paraId="6A49EE24" w14:textId="77777777" w:rsidTr="00AD39CE">
        <w:tc>
          <w:tcPr>
            <w:tcW w:w="4988" w:type="dxa"/>
            <w:tcBorders>
              <w:top w:val="nil"/>
              <w:left w:val="nil"/>
              <w:bottom w:val="nil"/>
              <w:right w:val="nil"/>
            </w:tcBorders>
          </w:tcPr>
          <w:p w14:paraId="1C8BF591" w14:textId="70CE3F9A" w:rsidR="001928D2" w:rsidRPr="00695123" w:rsidRDefault="001928D2" w:rsidP="008A4760">
            <w:pPr>
              <w:pStyle w:val="berschrift1"/>
              <w:numPr>
                <w:ilvl w:val="0"/>
                <w:numId w:val="0"/>
              </w:numPr>
            </w:pPr>
            <w:r w:rsidRPr="00695123">
              <w:t xml:space="preserve">§ </w:t>
            </w:r>
            <w:r w:rsidR="00990050" w:rsidRPr="00695123">
              <w:t>13</w:t>
            </w:r>
            <w:r w:rsidRPr="00695123">
              <w:t>. Planung und Beschaffung von Prüfmitteln</w:t>
            </w:r>
          </w:p>
          <w:p w14:paraId="3FFE23F9" w14:textId="40586C28" w:rsidR="00700AF5" w:rsidRPr="00695123" w:rsidRDefault="001928D2" w:rsidP="001928D2">
            <w:pPr>
              <w:pStyle w:val="StandardDEEN"/>
            </w:pPr>
            <w:r w:rsidRPr="00695123">
              <w:t xml:space="preserve">Der Lieferant legt für alle Merkmale, wie sie z.B. der Zeichnung, den Normen, dem Lastenheft etc. zu entnehmen sind, die Prüfmethodik mit dem entsprechenden Prüfmittel fest. Der Beschaffungsprozess ist so zu planen, dass die notwendigen Prüfmittel zum Termin der Produktionsprozess- und Produktfreigabe (PPF/PPAP) zur Verfügung stehen und die Prüfprozesseignung nachgewiesen wurde. Externe Prüfungen sowie Prüfungen durch Dienstleister müssen ebenfalls geplant werden. Externe Prüfdienstleister müssen nach ISO/IEC 17025 oder vergleichbaren nationalen Normen zertifiziert sein. Der Nachweis hat nach den Anforderungen des </w:t>
            </w:r>
            <w:proofErr w:type="gramStart"/>
            <w:r w:rsidRPr="00695123">
              <w:t>VDA Band</w:t>
            </w:r>
            <w:proofErr w:type="gramEnd"/>
            <w:r w:rsidRPr="00695123">
              <w:t xml:space="preserve"> 5 oder AIAG MSA zu erfolgen. Zusätzlich zu den MSA-Ergebnissen kann Kayser in Einzelfällen einen Abgleich der Messungen anfordern oder diesen selbst durchführen</w:t>
            </w:r>
          </w:p>
        </w:tc>
        <w:tc>
          <w:tcPr>
            <w:tcW w:w="4934" w:type="dxa"/>
            <w:tcBorders>
              <w:top w:val="nil"/>
              <w:left w:val="nil"/>
              <w:bottom w:val="nil"/>
              <w:right w:val="nil"/>
            </w:tcBorders>
          </w:tcPr>
          <w:p w14:paraId="67712D9C" w14:textId="0831C288" w:rsidR="001928D2" w:rsidRPr="00695123" w:rsidRDefault="001928D2" w:rsidP="001928D2">
            <w:pPr>
              <w:pStyle w:val="berschrift1"/>
              <w:numPr>
                <w:ilvl w:val="0"/>
                <w:numId w:val="0"/>
              </w:numPr>
              <w:rPr>
                <w:lang w:val="en-US"/>
              </w:rPr>
            </w:pPr>
            <w:r w:rsidRPr="00695123">
              <w:rPr>
                <w:lang w:val="en-US"/>
              </w:rPr>
              <w:t xml:space="preserve">§ </w:t>
            </w:r>
            <w:r w:rsidR="00990050" w:rsidRPr="00695123">
              <w:rPr>
                <w:lang w:val="en-US"/>
              </w:rPr>
              <w:t>13</w:t>
            </w:r>
            <w:r w:rsidRPr="00695123">
              <w:rPr>
                <w:lang w:val="en-US"/>
              </w:rPr>
              <w:t>. Planning and Procurement of Inspection Equipment</w:t>
            </w:r>
          </w:p>
          <w:p w14:paraId="13B6E3B2" w14:textId="7BEFA4AB" w:rsidR="00700AF5" w:rsidRPr="00695123" w:rsidRDefault="001928D2" w:rsidP="001928D2">
            <w:pPr>
              <w:pStyle w:val="StandardDEEN"/>
              <w:rPr>
                <w:b/>
                <w:bCs/>
                <w:sz w:val="28"/>
                <w:szCs w:val="28"/>
                <w:lang w:val="en-US"/>
              </w:rPr>
            </w:pPr>
            <w:r w:rsidRPr="00695123">
              <w:rPr>
                <w:lang w:val="en-US"/>
              </w:rPr>
              <w:t>The supplier determines the inspection method with the appropriate inspection equipment for all characteristics, shown on e.g. drawing, standards, specifications, etc. The procurement process shall be planned so that the necessary inspection equipment is available by the time of PPF/PPAP submission and suitability of the inspection process has been verified. External inspection and testing by service providers need to be planned as well. External service providers shall be accredited according to ISO/IEC 17025 or comparable national standards. The verification shall be carried out according to the requirements of VDA Volume 5 or AIAG MSA. In addition to the MSA results, Kayser may request or conduct an alignment of measurements in selected cases.</w:t>
            </w:r>
          </w:p>
        </w:tc>
      </w:tr>
      <w:tr w:rsidR="00695123" w:rsidRPr="00473277" w14:paraId="4E87D8D1" w14:textId="77777777" w:rsidTr="00AD39CE">
        <w:tc>
          <w:tcPr>
            <w:tcW w:w="4988" w:type="dxa"/>
            <w:tcBorders>
              <w:top w:val="nil"/>
              <w:left w:val="nil"/>
              <w:bottom w:val="nil"/>
              <w:right w:val="nil"/>
            </w:tcBorders>
          </w:tcPr>
          <w:p w14:paraId="275F335A" w14:textId="7BCC3B07" w:rsidR="007E4C5E" w:rsidRPr="00695123" w:rsidRDefault="007E4C5E" w:rsidP="007E4C5E">
            <w:pPr>
              <w:pStyle w:val="berschrift1"/>
              <w:numPr>
                <w:ilvl w:val="0"/>
                <w:numId w:val="0"/>
              </w:numPr>
              <w:ind w:left="510" w:hanging="510"/>
            </w:pPr>
            <w:r w:rsidRPr="00695123">
              <w:t xml:space="preserve">§ </w:t>
            </w:r>
            <w:r w:rsidR="00F145C6" w:rsidRPr="00695123">
              <w:t>14</w:t>
            </w:r>
            <w:r w:rsidRPr="00695123">
              <w:t>.  Fähigkeiten</w:t>
            </w:r>
          </w:p>
          <w:p w14:paraId="0A41BD78" w14:textId="77777777" w:rsidR="007E4C5E" w:rsidRPr="00695123" w:rsidRDefault="007E4C5E" w:rsidP="007E4C5E">
            <w:pPr>
              <w:pStyle w:val="StandardDEEN"/>
            </w:pPr>
            <w:r w:rsidRPr="00695123">
              <w:t xml:space="preserve">Der Lieferant verpflichtet sich, die Maschinen- und Prozessfähigkeitsuntersuchung gemäß einer der folgenden Normen der Automobilindustrie durchzuführen: VDA2, </w:t>
            </w:r>
            <w:proofErr w:type="gramStart"/>
            <w:r w:rsidRPr="00695123">
              <w:t>VDA Band</w:t>
            </w:r>
            <w:proofErr w:type="gramEnd"/>
            <w:r w:rsidRPr="00695123">
              <w:t xml:space="preserve"> 4 oder AIAG SPC. Die nachfolgende Erläuterung erfolgt nach VDA. Bitte beachten Sie, dass die Terminologie nach AIAG abweicht.</w:t>
            </w:r>
          </w:p>
          <w:p w14:paraId="170E59CC" w14:textId="77777777" w:rsidR="007E4C5E" w:rsidRPr="00695123" w:rsidRDefault="007E4C5E" w:rsidP="007E4C5E">
            <w:pPr>
              <w:pStyle w:val="StandardDEEN"/>
            </w:pPr>
            <w:r w:rsidRPr="00695123">
              <w:t>Mindestforderungen für Fähigkeitskennwerte:</w:t>
            </w:r>
          </w:p>
          <w:p w14:paraId="1C97993D" w14:textId="77777777" w:rsidR="007E4C5E" w:rsidRPr="00695123" w:rsidRDefault="007E4C5E" w:rsidP="00C355A7">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Maschinenfähigkeit/Kurzzeitprozessfähigkeit: Cm/</w:t>
            </w:r>
            <w:proofErr w:type="spellStart"/>
            <w:r w:rsidRPr="00695123">
              <w:rPr>
                <w:rFonts w:ascii="Arial" w:eastAsia="Times New Roman" w:hAnsi="Arial" w:cs="Arial"/>
                <w:kern w:val="0"/>
                <w:sz w:val="20"/>
                <w:szCs w:val="20"/>
                <w:lang w:eastAsia="de-DE"/>
                <w14:ligatures w14:val="none"/>
              </w:rPr>
              <w:t>Cmk</w:t>
            </w:r>
            <w:proofErr w:type="spellEnd"/>
            <w:r w:rsidRPr="00695123">
              <w:rPr>
                <w:rFonts w:ascii="Arial" w:eastAsia="Times New Roman" w:hAnsi="Arial" w:cs="Arial"/>
                <w:kern w:val="0"/>
                <w:sz w:val="20"/>
                <w:szCs w:val="20"/>
                <w:lang w:eastAsia="de-DE"/>
                <w14:ligatures w14:val="none"/>
              </w:rPr>
              <w:t xml:space="preserve"> 1,67</w:t>
            </w:r>
          </w:p>
          <w:p w14:paraId="7EDE807D" w14:textId="77777777" w:rsidR="007E4C5E" w:rsidRPr="00695123" w:rsidRDefault="007E4C5E" w:rsidP="00C355A7">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Vorläufige Prozessfähigkeit Pp/</w:t>
            </w:r>
            <w:proofErr w:type="spellStart"/>
            <w:r w:rsidRPr="00695123">
              <w:rPr>
                <w:rFonts w:ascii="Arial" w:eastAsia="Times New Roman" w:hAnsi="Arial" w:cs="Arial"/>
                <w:kern w:val="0"/>
                <w:sz w:val="20"/>
                <w:szCs w:val="20"/>
                <w:lang w:eastAsia="de-DE"/>
                <w14:ligatures w14:val="none"/>
              </w:rPr>
              <w:t>Ppk</w:t>
            </w:r>
            <w:proofErr w:type="spellEnd"/>
            <w:r w:rsidRPr="00695123">
              <w:rPr>
                <w:rFonts w:ascii="Arial" w:eastAsia="Times New Roman" w:hAnsi="Arial" w:cs="Arial"/>
                <w:kern w:val="0"/>
                <w:sz w:val="20"/>
                <w:szCs w:val="20"/>
                <w:lang w:eastAsia="de-DE"/>
                <w14:ligatures w14:val="none"/>
              </w:rPr>
              <w:t xml:space="preserve"> 1,67</w:t>
            </w:r>
          </w:p>
          <w:p w14:paraId="38F4389E" w14:textId="77777777" w:rsidR="007E4C5E" w:rsidRPr="00695123" w:rsidRDefault="007E4C5E" w:rsidP="00C355A7">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 xml:space="preserve">Prozessfähigkeit/Langzeitprozessfähigkeit: </w:t>
            </w:r>
            <w:proofErr w:type="spellStart"/>
            <w:r w:rsidRPr="00695123">
              <w:rPr>
                <w:rFonts w:ascii="Arial" w:eastAsia="Times New Roman" w:hAnsi="Arial" w:cs="Arial"/>
                <w:kern w:val="0"/>
                <w:sz w:val="20"/>
                <w:szCs w:val="20"/>
                <w:lang w:eastAsia="de-DE"/>
                <w14:ligatures w14:val="none"/>
              </w:rPr>
              <w:t>Cp</w:t>
            </w:r>
            <w:proofErr w:type="spellEnd"/>
            <w:r w:rsidRPr="00695123">
              <w:rPr>
                <w:rFonts w:ascii="Arial" w:eastAsia="Times New Roman" w:hAnsi="Arial" w:cs="Arial"/>
                <w:kern w:val="0"/>
                <w:sz w:val="20"/>
                <w:szCs w:val="20"/>
                <w:lang w:eastAsia="de-DE"/>
                <w14:ligatures w14:val="none"/>
              </w:rPr>
              <w:t>/</w:t>
            </w:r>
            <w:proofErr w:type="spellStart"/>
            <w:r w:rsidRPr="00695123">
              <w:rPr>
                <w:rFonts w:ascii="Arial" w:eastAsia="Times New Roman" w:hAnsi="Arial" w:cs="Arial"/>
                <w:kern w:val="0"/>
                <w:sz w:val="20"/>
                <w:szCs w:val="20"/>
                <w:lang w:eastAsia="de-DE"/>
                <w14:ligatures w14:val="none"/>
              </w:rPr>
              <w:t>Cpk</w:t>
            </w:r>
            <w:proofErr w:type="spellEnd"/>
            <w:r w:rsidRPr="00695123">
              <w:rPr>
                <w:rFonts w:ascii="Arial" w:eastAsia="Times New Roman" w:hAnsi="Arial" w:cs="Arial"/>
                <w:kern w:val="0"/>
                <w:sz w:val="20"/>
                <w:szCs w:val="20"/>
                <w:lang w:eastAsia="de-DE"/>
                <w14:ligatures w14:val="none"/>
              </w:rPr>
              <w:t xml:space="preserve"> 1,33</w:t>
            </w:r>
          </w:p>
          <w:p w14:paraId="0C2CCCF5" w14:textId="77777777" w:rsidR="007E4C5E" w:rsidRPr="00695123" w:rsidRDefault="007E4C5E" w:rsidP="007E4C5E">
            <w:pPr>
              <w:pStyle w:val="StandardDEEN"/>
            </w:pPr>
            <w:r w:rsidRPr="00695123">
              <w:t>Abweichende Kundenanforderungen werden von Kayser mit dem Lieferanten abgestimmt.</w:t>
            </w:r>
          </w:p>
          <w:p w14:paraId="5E94E2B3" w14:textId="77777777" w:rsidR="00E80014" w:rsidRPr="00695123" w:rsidRDefault="007E4C5E" w:rsidP="007E4C5E">
            <w:pPr>
              <w:pStyle w:val="StandardDEEN"/>
            </w:pPr>
            <w:r w:rsidRPr="00695123">
              <w:t>Maschinenfähigkeitsuntersuchung</w:t>
            </w:r>
            <w:r w:rsidR="00E80014" w:rsidRPr="00695123">
              <w:t xml:space="preserve"> </w:t>
            </w:r>
            <w:r w:rsidRPr="00695123">
              <w:t>(MFU)</w:t>
            </w:r>
            <w:r w:rsidR="00E80014" w:rsidRPr="00695123">
              <w:t xml:space="preserve"> </w:t>
            </w:r>
            <w:r w:rsidRPr="00695123">
              <w:t>/</w:t>
            </w:r>
            <w:r w:rsidR="00E80014" w:rsidRPr="00695123">
              <w:t xml:space="preserve"> </w:t>
            </w:r>
            <w:r w:rsidRPr="00695123">
              <w:t>Kurzzeitfähigkeit</w:t>
            </w:r>
            <w:r w:rsidR="00E80014" w:rsidRPr="00695123">
              <w:t>:</w:t>
            </w:r>
          </w:p>
          <w:p w14:paraId="2DBF9864" w14:textId="3D4C3378" w:rsidR="007E4C5E" w:rsidRPr="00695123" w:rsidRDefault="007E4C5E" w:rsidP="00E80014">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Maschinenfähigkeitsuntersuchungen sind so zu planen, dass alle Nachweise spätestens zum Erstmustertermin (PPF/PPAP) vorliegen.</w:t>
            </w:r>
          </w:p>
          <w:p w14:paraId="2A45EF73" w14:textId="77777777" w:rsidR="007E4C5E" w:rsidRPr="00695123" w:rsidRDefault="007E4C5E" w:rsidP="007E4C5E">
            <w:pPr>
              <w:pStyle w:val="StandardDEEN"/>
            </w:pPr>
            <w:r w:rsidRPr="00695123">
              <w:t xml:space="preserve">Vorläufige Prozessfähigkeitsuntersuchung (PFU) Sofern nicht anderweitig mit Kayser vereinbart, ist die Auswertung der vorläufigen PFU mit mindestens 25 Stichproben vorzulegen, welche aus jeweils 5 Messwerten bestehen. Bei Attributivprüfungen muss die Stichprobengröße mindestens 300 fortlaufende Teile umfassen, sofern nicht anderweitig zwischen Kayser und dem Lieferanten im Plan zur Probenentnahme vereinbart. </w:t>
            </w:r>
          </w:p>
          <w:p w14:paraId="57FFCE51" w14:textId="77777777" w:rsidR="007E4C5E" w:rsidRPr="00695123" w:rsidRDefault="007E4C5E" w:rsidP="007E4C5E">
            <w:pPr>
              <w:pStyle w:val="StandardDEEN"/>
            </w:pPr>
            <w:r w:rsidRPr="00695123">
              <w:t>Sofern nicht anderweitig mit Kayser vereinbart, muss zur Eingrenzung grundsätzlich eine 100% Prüfung oder gleichwertige Fehlereingrenzung so lange fortgesetzt werden, bis die vorläufige Prozessfähigkeit nachgewiesen wurde.</w:t>
            </w:r>
          </w:p>
          <w:p w14:paraId="0B9AD478" w14:textId="77777777" w:rsidR="007E4C5E" w:rsidRPr="00695123" w:rsidRDefault="007E4C5E" w:rsidP="007E4C5E">
            <w:pPr>
              <w:pStyle w:val="StandardDEEN"/>
            </w:pPr>
            <w:r w:rsidRPr="00695123">
              <w:t xml:space="preserve">Prozessfähigkeitsuntersuchung (PFU)/Langzeitprozessfähigkeit: Die Langzeit-PFU ist, sobald diese gemäß den oben genannten Anforderungen ermittelt werden kann, Kayser vorzulegen. Weiterhin sind die Ergebnisse der kontinuierlichen statistischen Prozesskontrolle (SPC) auf Anfrage und zur jährlichen </w:t>
            </w:r>
            <w:proofErr w:type="spellStart"/>
            <w:r w:rsidRPr="00695123">
              <w:t>Requalifikation</w:t>
            </w:r>
            <w:proofErr w:type="spellEnd"/>
            <w:r w:rsidRPr="00695123">
              <w:t xml:space="preserve"> einzureichen.</w:t>
            </w:r>
          </w:p>
          <w:p w14:paraId="4DD5A74E" w14:textId="77777777" w:rsidR="007E4C5E" w:rsidRPr="00695123" w:rsidRDefault="007E4C5E" w:rsidP="007E4C5E">
            <w:pPr>
              <w:pStyle w:val="StandardDEEN"/>
            </w:pPr>
            <w:r w:rsidRPr="00695123">
              <w:t>Zentrierte Fertigung: Das Ziel bei steuerbaren Merkmalen muss die zentrierte Fertigung sein. Bei Prozessen ohne Fähigkeitsnachweis müssen Maßnahmen wie die 100-Prozent-Prüfung bzw. -Sortierung oder eine andere Form des Fehlerausschlusses so lange fortgesetzt werden, bis die Langzeitprozessfähigkeit anhand der Prozess-</w:t>
            </w:r>
            <w:proofErr w:type="spellStart"/>
            <w:r w:rsidRPr="00695123">
              <w:t>CpK</w:t>
            </w:r>
            <w:proofErr w:type="spellEnd"/>
            <w:r w:rsidRPr="00695123">
              <w:t xml:space="preserve"> nachgewiesen wurde. </w:t>
            </w:r>
          </w:p>
          <w:p w14:paraId="11F2CFBB" w14:textId="6EB57783" w:rsidR="00B11EF6" w:rsidRPr="00695123" w:rsidRDefault="007E4C5E" w:rsidP="007E4C5E">
            <w:pPr>
              <w:pStyle w:val="berschrift1"/>
              <w:numPr>
                <w:ilvl w:val="0"/>
                <w:numId w:val="0"/>
              </w:numPr>
              <w:ind w:left="357" w:hanging="357"/>
            </w:pPr>
            <w:r w:rsidRPr="00695123">
              <w:rPr>
                <w:rFonts w:ascii="Arial" w:hAnsi="Arial" w:cs="Arial"/>
                <w:b w:val="0"/>
                <w:sz w:val="20"/>
              </w:rPr>
              <w:t>Bei den Spezifikationsgrenzen sind die Messunsicherheiten zu berücksichtigen</w:t>
            </w:r>
          </w:p>
        </w:tc>
        <w:tc>
          <w:tcPr>
            <w:tcW w:w="4934" w:type="dxa"/>
            <w:tcBorders>
              <w:top w:val="nil"/>
              <w:left w:val="nil"/>
              <w:bottom w:val="nil"/>
              <w:right w:val="nil"/>
            </w:tcBorders>
          </w:tcPr>
          <w:p w14:paraId="455AE754" w14:textId="21B6C04D" w:rsidR="006615BC" w:rsidRPr="00695123" w:rsidRDefault="006615BC" w:rsidP="006615BC">
            <w:pPr>
              <w:pStyle w:val="StandardDEEN"/>
              <w:rPr>
                <w:lang w:val="en-US"/>
              </w:rPr>
            </w:pPr>
            <w:r w:rsidRPr="00695123">
              <w:rPr>
                <w:b/>
                <w:bCs/>
                <w:sz w:val="28"/>
                <w:szCs w:val="28"/>
                <w:lang w:val="en-US"/>
              </w:rPr>
              <w:t xml:space="preserve">§ </w:t>
            </w:r>
            <w:r w:rsidR="00F145C6" w:rsidRPr="00695123">
              <w:rPr>
                <w:b/>
                <w:bCs/>
                <w:sz w:val="28"/>
                <w:szCs w:val="28"/>
                <w:lang w:val="en-US"/>
              </w:rPr>
              <w:t>14</w:t>
            </w:r>
            <w:r w:rsidRPr="00695123">
              <w:rPr>
                <w:b/>
                <w:bCs/>
                <w:sz w:val="28"/>
                <w:szCs w:val="28"/>
                <w:lang w:val="en-US"/>
              </w:rPr>
              <w:t>.  Capability studies</w:t>
            </w:r>
          </w:p>
          <w:p w14:paraId="4B6955CF" w14:textId="77777777" w:rsidR="006615BC" w:rsidRPr="00695123" w:rsidRDefault="006615BC" w:rsidP="006615BC">
            <w:pPr>
              <w:pStyle w:val="StandardDEEN"/>
              <w:rPr>
                <w:lang w:val="en-US"/>
              </w:rPr>
            </w:pPr>
            <w:r w:rsidRPr="00695123">
              <w:rPr>
                <w:lang w:val="en-US"/>
              </w:rPr>
              <w:t>The supplier shall agree to conduct the machine capability study and process capability study according to one of the automotive standards VDA Volume 2, VDA Volume 4 or AIAG book SPC. The following explanation is according to VDA. Please note the alternative definition in AIAG.</w:t>
            </w:r>
          </w:p>
          <w:p w14:paraId="230DCD4D" w14:textId="77777777" w:rsidR="006615BC" w:rsidRPr="00695123" w:rsidRDefault="006615BC" w:rsidP="006615BC">
            <w:pPr>
              <w:pStyle w:val="StandardDEEN"/>
              <w:rPr>
                <w:lang w:val="en-US"/>
              </w:rPr>
            </w:pPr>
            <w:r w:rsidRPr="00695123">
              <w:rPr>
                <w:lang w:val="en-US"/>
              </w:rPr>
              <w:br/>
              <w:t>Minimum requirements for capability indices:</w:t>
            </w:r>
          </w:p>
          <w:p w14:paraId="6389DA6A" w14:textId="77777777" w:rsidR="006615BC" w:rsidRPr="00695123" w:rsidRDefault="006615BC" w:rsidP="00C355A7">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Machine capability/short-term process capability Cm/</w:t>
            </w:r>
            <w:proofErr w:type="spellStart"/>
            <w:r w:rsidRPr="00695123">
              <w:rPr>
                <w:rFonts w:ascii="Arial" w:eastAsia="Times New Roman" w:hAnsi="Arial" w:cs="Arial"/>
                <w:kern w:val="0"/>
                <w:sz w:val="20"/>
                <w:szCs w:val="20"/>
                <w:lang w:val="en-US" w:eastAsia="de-DE"/>
                <w14:ligatures w14:val="none"/>
              </w:rPr>
              <w:t>Cmk</w:t>
            </w:r>
            <w:proofErr w:type="spellEnd"/>
            <w:r w:rsidRPr="00695123">
              <w:rPr>
                <w:rFonts w:ascii="Arial" w:eastAsia="Times New Roman" w:hAnsi="Arial" w:cs="Arial"/>
                <w:kern w:val="0"/>
                <w:sz w:val="20"/>
                <w:szCs w:val="20"/>
                <w:lang w:val="en-US" w:eastAsia="de-DE"/>
                <w14:ligatures w14:val="none"/>
              </w:rPr>
              <w:t xml:space="preserve"> 1.67</w:t>
            </w:r>
          </w:p>
          <w:p w14:paraId="3A8CED60" w14:textId="77777777" w:rsidR="006615BC" w:rsidRPr="00695123" w:rsidRDefault="006615BC" w:rsidP="00C355A7">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Preliminary process capability Pp/</w:t>
            </w:r>
            <w:proofErr w:type="spellStart"/>
            <w:r w:rsidRPr="00695123">
              <w:rPr>
                <w:rFonts w:ascii="Arial" w:eastAsia="Times New Roman" w:hAnsi="Arial" w:cs="Arial"/>
                <w:kern w:val="0"/>
                <w:sz w:val="20"/>
                <w:szCs w:val="20"/>
                <w:lang w:val="en-US" w:eastAsia="de-DE"/>
                <w14:ligatures w14:val="none"/>
              </w:rPr>
              <w:t>Ppk</w:t>
            </w:r>
            <w:proofErr w:type="spellEnd"/>
            <w:r w:rsidRPr="00695123">
              <w:rPr>
                <w:rFonts w:ascii="Arial" w:eastAsia="Times New Roman" w:hAnsi="Arial" w:cs="Arial"/>
                <w:kern w:val="0"/>
                <w:sz w:val="20"/>
                <w:szCs w:val="20"/>
                <w:lang w:val="en-US" w:eastAsia="de-DE"/>
                <w14:ligatures w14:val="none"/>
              </w:rPr>
              <w:t xml:space="preserve"> 1.67 </w:t>
            </w:r>
          </w:p>
          <w:p w14:paraId="4B7B3FAF" w14:textId="77777777" w:rsidR="006615BC" w:rsidRPr="00695123" w:rsidRDefault="006615BC" w:rsidP="00C355A7">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Process capability/long-term process capability Cp/</w:t>
            </w:r>
            <w:proofErr w:type="spellStart"/>
            <w:r w:rsidRPr="00695123">
              <w:rPr>
                <w:rFonts w:ascii="Arial" w:eastAsia="Times New Roman" w:hAnsi="Arial" w:cs="Arial"/>
                <w:kern w:val="0"/>
                <w:sz w:val="20"/>
                <w:szCs w:val="20"/>
                <w:lang w:val="en-US" w:eastAsia="de-DE"/>
                <w14:ligatures w14:val="none"/>
              </w:rPr>
              <w:t>Cpk</w:t>
            </w:r>
            <w:proofErr w:type="spellEnd"/>
            <w:r w:rsidRPr="00695123">
              <w:rPr>
                <w:rFonts w:ascii="Arial" w:eastAsia="Times New Roman" w:hAnsi="Arial" w:cs="Arial"/>
                <w:kern w:val="0"/>
                <w:sz w:val="20"/>
                <w:szCs w:val="20"/>
                <w:lang w:val="en-US" w:eastAsia="de-DE"/>
                <w14:ligatures w14:val="none"/>
              </w:rPr>
              <w:t xml:space="preserve"> 1.33</w:t>
            </w:r>
          </w:p>
          <w:p w14:paraId="5247052C" w14:textId="77777777" w:rsidR="006615BC" w:rsidRPr="00695123" w:rsidRDefault="006615BC" w:rsidP="006615BC">
            <w:pPr>
              <w:pStyle w:val="StandardDEEN"/>
              <w:rPr>
                <w:lang w:val="en-US"/>
              </w:rPr>
            </w:pPr>
            <w:r w:rsidRPr="00695123">
              <w:rPr>
                <w:lang w:val="en-US"/>
              </w:rPr>
              <w:t>Deviating customer requirements will be agreed by Kayser with the supplier.</w:t>
            </w:r>
          </w:p>
          <w:p w14:paraId="43A508C9" w14:textId="77777777" w:rsidR="00133C19" w:rsidRPr="00695123" w:rsidRDefault="006615BC" w:rsidP="006615BC">
            <w:pPr>
              <w:pStyle w:val="StandardDEEN"/>
              <w:rPr>
                <w:lang w:val="en-US"/>
              </w:rPr>
            </w:pPr>
            <w:r w:rsidRPr="00695123">
              <w:rPr>
                <w:lang w:val="en-US"/>
              </w:rPr>
              <w:t>Machine capability study/short-term capability:</w:t>
            </w:r>
          </w:p>
          <w:p w14:paraId="099E58B5" w14:textId="3339EFD7" w:rsidR="006615BC" w:rsidRPr="00695123" w:rsidRDefault="006615BC" w:rsidP="00133C19">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The machine capability studies shall be planned in such a way that all verifications are available no later than at the time of the PPF/PPAP submission</w:t>
            </w:r>
          </w:p>
          <w:p w14:paraId="1ABDC490" w14:textId="77777777" w:rsidR="006615BC" w:rsidRPr="00695123" w:rsidRDefault="006615BC" w:rsidP="006615BC">
            <w:pPr>
              <w:pStyle w:val="StandardDEEN"/>
              <w:rPr>
                <w:lang w:val="en-US"/>
              </w:rPr>
            </w:pPr>
            <w:r w:rsidRPr="00695123">
              <w:rPr>
                <w:lang w:val="en-US"/>
              </w:rPr>
              <w:br/>
              <w:t xml:space="preserve">Preliminary process capability study: The evaluation of preliminary process capability studies shall be presented from at least 25 sub-groups, each consisting of 5 samples, unless otherwise agreed with Kayser. For attributive inspection, sample size is minimum 300 consecutive pieces, unless otherwise agreed between Kayser and the supplier. </w:t>
            </w:r>
          </w:p>
          <w:p w14:paraId="7D2A939D" w14:textId="77777777" w:rsidR="006615BC" w:rsidRPr="00695123" w:rsidRDefault="006615BC" w:rsidP="006615BC">
            <w:pPr>
              <w:pStyle w:val="StandardDEEN"/>
              <w:rPr>
                <w:lang w:val="en-US"/>
              </w:rPr>
            </w:pPr>
            <w:r w:rsidRPr="00695123">
              <w:rPr>
                <w:lang w:val="en-US"/>
              </w:rPr>
              <w:br/>
            </w:r>
            <w:r w:rsidRPr="00695123">
              <w:rPr>
                <w:lang w:val="en-US"/>
              </w:rPr>
              <w:br/>
              <w:t xml:space="preserve">Containment, generally either 100% sorting or some form of mistake proofing, shall continue until such time that the process </w:t>
            </w:r>
            <w:proofErr w:type="spellStart"/>
            <w:r w:rsidRPr="00695123">
              <w:rPr>
                <w:lang w:val="en-US"/>
              </w:rPr>
              <w:t>Ppk</w:t>
            </w:r>
            <w:proofErr w:type="spellEnd"/>
            <w:r w:rsidRPr="00695123">
              <w:rPr>
                <w:lang w:val="en-US"/>
              </w:rPr>
              <w:t xml:space="preserve"> demonstrates preliminary capability unless otherwise agreed with Kayser.</w:t>
            </w:r>
          </w:p>
          <w:p w14:paraId="553795AB" w14:textId="5075B2B6" w:rsidR="004E2B14" w:rsidRPr="00695123" w:rsidRDefault="006615BC" w:rsidP="006615BC">
            <w:pPr>
              <w:pStyle w:val="StandardDEEN"/>
              <w:rPr>
                <w:lang w:val="en-US"/>
              </w:rPr>
            </w:pPr>
            <w:r w:rsidRPr="00695123">
              <w:rPr>
                <w:lang w:val="en-US"/>
              </w:rPr>
              <w:br/>
              <w:t xml:space="preserve">Process capability study/Long-term process capability: The long-term process capability study shall be submitted to Kayser as soon as it can be determined according to above mentioned requirements. Furthermore, the results of the continuous </w:t>
            </w:r>
            <w:proofErr w:type="spellStart"/>
            <w:r w:rsidRPr="00695123">
              <w:rPr>
                <w:lang w:val="en-US"/>
              </w:rPr>
              <w:t>stastical</w:t>
            </w:r>
            <w:proofErr w:type="spellEnd"/>
            <w:r w:rsidRPr="00695123">
              <w:rPr>
                <w:lang w:val="en-US"/>
              </w:rPr>
              <w:t xml:space="preserve"> process control (SPC) shall be submitted on request and for annual requalification.</w:t>
            </w:r>
          </w:p>
          <w:p w14:paraId="1090E9E6" w14:textId="77777777" w:rsidR="0049421D" w:rsidRPr="00695123" w:rsidRDefault="0049421D" w:rsidP="006615BC">
            <w:pPr>
              <w:pStyle w:val="StandardDEEN"/>
              <w:rPr>
                <w:lang w:val="en-US"/>
              </w:rPr>
            </w:pPr>
          </w:p>
          <w:p w14:paraId="42C169B5" w14:textId="2625BB58" w:rsidR="006615BC" w:rsidRPr="00695123" w:rsidRDefault="006615BC" w:rsidP="006615BC">
            <w:pPr>
              <w:pStyle w:val="StandardDEEN"/>
              <w:rPr>
                <w:lang w:val="en-US"/>
              </w:rPr>
            </w:pPr>
            <w:r w:rsidRPr="00695123">
              <w:rPr>
                <w:lang w:val="en-US"/>
              </w:rPr>
              <w:t xml:space="preserve">Centered production: Centered production shall be the target for characteristics which can be adjusted. In case of noncapable processes, 100% inspection/sorting or some form of mistake proofing shall continue until such time that the process </w:t>
            </w:r>
            <w:proofErr w:type="spellStart"/>
            <w:r w:rsidRPr="00695123">
              <w:rPr>
                <w:lang w:val="en-US"/>
              </w:rPr>
              <w:t>Cpk</w:t>
            </w:r>
            <w:proofErr w:type="spellEnd"/>
            <w:r w:rsidRPr="00695123">
              <w:rPr>
                <w:lang w:val="en-US"/>
              </w:rPr>
              <w:t xml:space="preserve"> demonstrates long term capability</w:t>
            </w:r>
          </w:p>
          <w:p w14:paraId="4E4DF55D" w14:textId="77777777" w:rsidR="004E2B14" w:rsidRPr="00695123" w:rsidRDefault="004E2B14" w:rsidP="006615BC">
            <w:pPr>
              <w:pStyle w:val="StandardDEEN"/>
              <w:rPr>
                <w:lang w:val="en-US"/>
              </w:rPr>
            </w:pPr>
          </w:p>
          <w:p w14:paraId="2B17E3B8" w14:textId="3412CC7B" w:rsidR="00B11EF6" w:rsidRPr="00695123" w:rsidRDefault="006615BC" w:rsidP="006615BC">
            <w:pPr>
              <w:pStyle w:val="berschriftEN1"/>
              <w:numPr>
                <w:ilvl w:val="0"/>
                <w:numId w:val="0"/>
              </w:numPr>
              <w:ind w:left="567" w:hanging="567"/>
              <w:rPr>
                <w:lang w:val="en-US"/>
              </w:rPr>
            </w:pPr>
            <w:r w:rsidRPr="00695123">
              <w:rPr>
                <w:rFonts w:ascii="Arial" w:hAnsi="Arial" w:cs="Arial"/>
                <w:b w:val="0"/>
                <w:sz w:val="20"/>
                <w:lang w:val="en-US"/>
              </w:rPr>
              <w:t xml:space="preserve">The measurement uncertainties must be </w:t>
            </w:r>
            <w:proofErr w:type="gramStart"/>
            <w:r w:rsidRPr="00695123">
              <w:rPr>
                <w:rFonts w:ascii="Arial" w:hAnsi="Arial" w:cs="Arial"/>
                <w:b w:val="0"/>
                <w:sz w:val="20"/>
                <w:lang w:val="en-US"/>
              </w:rPr>
              <w:t>taken into account</w:t>
            </w:r>
            <w:proofErr w:type="gramEnd"/>
            <w:r w:rsidRPr="00695123">
              <w:rPr>
                <w:rFonts w:ascii="Arial" w:hAnsi="Arial" w:cs="Arial"/>
                <w:b w:val="0"/>
                <w:sz w:val="20"/>
                <w:lang w:val="en-US"/>
              </w:rPr>
              <w:t xml:space="preserve"> for the specification limits</w:t>
            </w:r>
          </w:p>
        </w:tc>
      </w:tr>
      <w:tr w:rsidR="000213E7" w:rsidRPr="00473277" w14:paraId="2FD28656" w14:textId="77777777" w:rsidTr="00AD39CE">
        <w:tc>
          <w:tcPr>
            <w:tcW w:w="4988" w:type="dxa"/>
            <w:tcBorders>
              <w:top w:val="nil"/>
              <w:left w:val="nil"/>
              <w:bottom w:val="nil"/>
              <w:right w:val="nil"/>
            </w:tcBorders>
          </w:tcPr>
          <w:p w14:paraId="04D4C3F5" w14:textId="77777777" w:rsidR="000213E7" w:rsidRPr="006615BC" w:rsidRDefault="000213E7" w:rsidP="00915912">
            <w:pPr>
              <w:pStyle w:val="berschrift1"/>
              <w:numPr>
                <w:ilvl w:val="0"/>
                <w:numId w:val="0"/>
              </w:numPr>
              <w:ind w:left="357" w:hanging="357"/>
              <w:rPr>
                <w:lang w:val="en-US"/>
              </w:rPr>
            </w:pPr>
          </w:p>
        </w:tc>
        <w:tc>
          <w:tcPr>
            <w:tcW w:w="4934" w:type="dxa"/>
            <w:tcBorders>
              <w:top w:val="nil"/>
              <w:left w:val="nil"/>
              <w:bottom w:val="nil"/>
              <w:right w:val="nil"/>
            </w:tcBorders>
          </w:tcPr>
          <w:p w14:paraId="716E4ED0" w14:textId="77777777" w:rsidR="000213E7" w:rsidRPr="006615BC" w:rsidRDefault="000213E7" w:rsidP="0049421D">
            <w:pPr>
              <w:pStyle w:val="berschriftEN1"/>
              <w:numPr>
                <w:ilvl w:val="0"/>
                <w:numId w:val="0"/>
              </w:numPr>
              <w:rPr>
                <w:lang w:val="en-US"/>
              </w:rPr>
            </w:pPr>
          </w:p>
        </w:tc>
      </w:tr>
      <w:tr w:rsidR="00695123" w:rsidRPr="00695123" w14:paraId="706F89AA" w14:textId="77777777" w:rsidTr="00AD39CE">
        <w:tc>
          <w:tcPr>
            <w:tcW w:w="4988" w:type="dxa"/>
            <w:tcBorders>
              <w:top w:val="nil"/>
              <w:left w:val="nil"/>
              <w:bottom w:val="nil"/>
              <w:right w:val="nil"/>
            </w:tcBorders>
          </w:tcPr>
          <w:p w14:paraId="057F8193" w14:textId="67D81A38" w:rsidR="00A71103" w:rsidRPr="00695123" w:rsidRDefault="00A71103" w:rsidP="00BB3E7C">
            <w:pPr>
              <w:autoSpaceDE w:val="0"/>
              <w:autoSpaceDN w:val="0"/>
              <w:adjustRightInd w:val="0"/>
              <w:jc w:val="both"/>
              <w:rPr>
                <w:rFonts w:ascii="Arial" w:hAnsi="Arial" w:cs="Arial"/>
                <w:sz w:val="20"/>
              </w:rPr>
            </w:pPr>
            <w:r w:rsidRPr="00695123">
              <w:rPr>
                <w:b/>
                <w:bCs/>
                <w:sz w:val="28"/>
                <w:szCs w:val="28"/>
              </w:rPr>
              <w:t>§ 1</w:t>
            </w:r>
            <w:r w:rsidR="00F52404" w:rsidRPr="00695123">
              <w:rPr>
                <w:b/>
                <w:bCs/>
                <w:sz w:val="28"/>
                <w:szCs w:val="28"/>
              </w:rPr>
              <w:t>5</w:t>
            </w:r>
            <w:r w:rsidRPr="00695123">
              <w:rPr>
                <w:b/>
                <w:bCs/>
                <w:sz w:val="28"/>
                <w:szCs w:val="28"/>
              </w:rPr>
              <w:t>.</w:t>
            </w:r>
            <w:r w:rsidRPr="00695123">
              <w:rPr>
                <w:sz w:val="28"/>
                <w:szCs w:val="28"/>
              </w:rPr>
              <w:t xml:space="preserve"> </w:t>
            </w:r>
            <w:r w:rsidRPr="00695123">
              <w:rPr>
                <w:b/>
                <w:bCs/>
                <w:sz w:val="28"/>
                <w:szCs w:val="28"/>
              </w:rPr>
              <w:t>Besondere Merkmale</w:t>
            </w:r>
          </w:p>
          <w:p w14:paraId="037367F0" w14:textId="77777777" w:rsidR="00FC5D4A" w:rsidRPr="00695123" w:rsidRDefault="00FC5D4A" w:rsidP="00FC5D4A">
            <w:pPr>
              <w:pStyle w:val="StandardDEEN"/>
            </w:pPr>
            <w:r w:rsidRPr="00695123">
              <w:t>Kayser beschreibt die Anforderungen an die Produkte durch technische Zeichnungen, Spezifikationen und die jeweiligen Einkaufsdokumente.</w:t>
            </w:r>
          </w:p>
          <w:p w14:paraId="7D672518" w14:textId="77777777" w:rsidR="00FC5D4A" w:rsidRPr="00695123" w:rsidRDefault="00FC5D4A" w:rsidP="00FC5D4A">
            <w:pPr>
              <w:pStyle w:val="StandardDEEN"/>
            </w:pPr>
            <w:r w:rsidRPr="00695123">
              <w:t>Alle Merkmale sind einzuhalten. Es gibt Merkmale mit höheren Risiken, die eine besondere Beachtung erfordern „Besonderen Merkmale“.</w:t>
            </w:r>
          </w:p>
          <w:p w14:paraId="790711C9" w14:textId="77777777" w:rsidR="00FC5D4A" w:rsidRPr="00695123" w:rsidRDefault="00FC5D4A" w:rsidP="00FC5D4A">
            <w:pPr>
              <w:pStyle w:val="StandardDEEN"/>
            </w:pPr>
            <w:r w:rsidRPr="00695123">
              <w:t>Abweichungen bei diesen Merkmalen können die Produktsicherheit, die Lebensdauer, die Montagefähigkeit, die Funktion, sowie die Qualität beeinträchtigen und auch behördliche oder gesetzliche Vorschriften verletzen.</w:t>
            </w:r>
          </w:p>
          <w:p w14:paraId="1F4246D4" w14:textId="77777777" w:rsidR="00FC5D4A" w:rsidRPr="00695123" w:rsidRDefault="00FC5D4A" w:rsidP="00FC5D4A">
            <w:pPr>
              <w:pStyle w:val="StandardDEEN"/>
            </w:pPr>
            <w:r w:rsidRPr="00695123">
              <w:t xml:space="preserve">Besondere Merkmale werden von Kayser vorgeschrieben und auf den Zeichnungen und/oder Spezifikationen dokumentiert. Sie sind auch aus der Risikoanalyse des Lieferanten </w:t>
            </w:r>
            <w:proofErr w:type="gramStart"/>
            <w:r w:rsidRPr="00695123">
              <w:t>heraus zu bestimmen</w:t>
            </w:r>
            <w:proofErr w:type="gramEnd"/>
            <w:r w:rsidRPr="00695123">
              <w:t>, z. B. aus der Produkt/- und/oder Prozess-FMEA basierend auf Erfahrung und Knowhow des Lieferanten.</w:t>
            </w:r>
          </w:p>
          <w:p w14:paraId="4CA401C4" w14:textId="77777777" w:rsidR="00FC5D4A" w:rsidRPr="00695123" w:rsidRDefault="00FC5D4A" w:rsidP="00FC5D4A">
            <w:pPr>
              <w:pStyle w:val="StandardDEEN"/>
            </w:pPr>
            <w:r w:rsidRPr="00695123">
              <w:t>Von Kayser festgelegte besondere Merkmale gliedern sich wie folgt:</w:t>
            </w:r>
          </w:p>
          <w:p w14:paraId="4AE4925F" w14:textId="08E5E996" w:rsidR="00FC5D4A" w:rsidRPr="00695123" w:rsidRDefault="00FC5D4A"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 xml:space="preserve">CC = </w:t>
            </w:r>
            <w:r w:rsidR="0077162E" w:rsidRPr="00695123">
              <w:rPr>
                <w:rFonts w:ascii="Arial" w:eastAsia="Times New Roman" w:hAnsi="Arial" w:cs="Arial"/>
                <w:kern w:val="0"/>
                <w:sz w:val="20"/>
                <w:szCs w:val="20"/>
                <w:lang w:eastAsia="de-DE"/>
                <w14:ligatures w14:val="none"/>
              </w:rPr>
              <w:t>K</w:t>
            </w:r>
            <w:r w:rsidRPr="00695123">
              <w:rPr>
                <w:rFonts w:ascii="Arial" w:eastAsia="Times New Roman" w:hAnsi="Arial" w:cs="Arial"/>
                <w:kern w:val="0"/>
                <w:sz w:val="20"/>
                <w:szCs w:val="20"/>
                <w:lang w:eastAsia="de-DE"/>
                <w14:ligatures w14:val="none"/>
              </w:rPr>
              <w:t>ritisches Merkmal</w:t>
            </w:r>
          </w:p>
          <w:p w14:paraId="73CF35DD" w14:textId="77777777" w:rsidR="00FC5D4A" w:rsidRPr="00695123" w:rsidRDefault="00FC5D4A"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SC = Signifikante Merkmale</w:t>
            </w:r>
          </w:p>
          <w:p w14:paraId="6F5267E0" w14:textId="77777777" w:rsidR="00FC5D4A" w:rsidRPr="00695123" w:rsidRDefault="00FC5D4A"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PCC = Prüfmerkmale</w:t>
            </w:r>
          </w:p>
          <w:p w14:paraId="10782EFC" w14:textId="77777777" w:rsidR="00581777" w:rsidRPr="00695123" w:rsidRDefault="00581777" w:rsidP="00FC5D4A">
            <w:pPr>
              <w:pStyle w:val="KeinLeerraum"/>
              <w:rPr>
                <w:rFonts w:ascii="Arial" w:eastAsia="Times New Roman" w:hAnsi="Arial" w:cs="Arial"/>
                <w:kern w:val="0"/>
                <w:sz w:val="20"/>
                <w:szCs w:val="20"/>
                <w:lang w:eastAsia="de-DE"/>
                <w14:ligatures w14:val="none"/>
              </w:rPr>
            </w:pPr>
          </w:p>
          <w:p w14:paraId="750B8917" w14:textId="13C951F2" w:rsidR="00581777" w:rsidRPr="00695123" w:rsidRDefault="00581777"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Bewertung</w:t>
            </w:r>
            <w:r w:rsidR="00642DD2" w:rsidRPr="00695123">
              <w:rPr>
                <w:rFonts w:ascii="Arial" w:eastAsia="Times New Roman" w:hAnsi="Arial" w:cs="Arial"/>
                <w:kern w:val="0"/>
                <w:sz w:val="20"/>
                <w:szCs w:val="20"/>
                <w:lang w:eastAsia="de-DE"/>
                <w14:ligatures w14:val="none"/>
              </w:rPr>
              <w:t xml:space="preserve"> der besonderen Merkmale</w:t>
            </w:r>
            <w:r w:rsidRPr="00695123">
              <w:rPr>
                <w:rFonts w:ascii="Arial" w:eastAsia="Times New Roman" w:hAnsi="Arial" w:cs="Arial"/>
                <w:kern w:val="0"/>
                <w:sz w:val="20"/>
                <w:szCs w:val="20"/>
                <w:lang w:eastAsia="de-DE"/>
                <w14:ligatures w14:val="none"/>
              </w:rPr>
              <w:t xml:space="preserve"> in der </w:t>
            </w:r>
            <w:proofErr w:type="gramStart"/>
            <w:r w:rsidRPr="00695123">
              <w:rPr>
                <w:rFonts w:ascii="Arial" w:eastAsia="Times New Roman" w:hAnsi="Arial" w:cs="Arial"/>
                <w:kern w:val="0"/>
                <w:sz w:val="20"/>
                <w:szCs w:val="20"/>
                <w:lang w:eastAsia="de-DE"/>
                <w14:ligatures w14:val="none"/>
              </w:rPr>
              <w:t>FMEA</w:t>
            </w:r>
            <w:proofErr w:type="gramEnd"/>
            <w:r w:rsidRPr="00695123">
              <w:rPr>
                <w:rFonts w:ascii="Arial" w:eastAsia="Times New Roman" w:hAnsi="Arial" w:cs="Arial"/>
                <w:kern w:val="0"/>
                <w:sz w:val="20"/>
                <w:szCs w:val="20"/>
                <w:lang w:eastAsia="de-DE"/>
                <w14:ligatures w14:val="none"/>
              </w:rPr>
              <w:t xml:space="preserve"> wenn nicht von Endkunden vorgegeben.</w:t>
            </w:r>
          </w:p>
          <w:p w14:paraId="5D22EEA9" w14:textId="77777777" w:rsidR="00581777" w:rsidRPr="00695123" w:rsidRDefault="00581777" w:rsidP="00581777">
            <w:pPr>
              <w:pStyle w:val="KeinLeerraum"/>
              <w:rPr>
                <w:rFonts w:ascii="Arial" w:hAnsi="Arial" w:cs="Arial"/>
                <w:sz w:val="20"/>
              </w:rPr>
            </w:pPr>
            <w:proofErr w:type="gramStart"/>
            <w:r w:rsidRPr="00695123">
              <w:rPr>
                <w:rFonts w:ascii="Arial" w:hAnsi="Arial" w:cs="Arial"/>
                <w:sz w:val="20"/>
              </w:rPr>
              <w:t>CC Merkmale</w:t>
            </w:r>
            <w:proofErr w:type="gramEnd"/>
            <w:r w:rsidRPr="00695123">
              <w:rPr>
                <w:rFonts w:ascii="Arial" w:hAnsi="Arial" w:cs="Arial"/>
                <w:sz w:val="20"/>
              </w:rPr>
              <w:t xml:space="preserve"> müssen in der FMEA eine Fehlerfolge mit der Bedeutung 9 oder 10 zeigen.</w:t>
            </w:r>
          </w:p>
          <w:p w14:paraId="202AC0AF" w14:textId="77777777" w:rsidR="00581777" w:rsidRPr="00695123" w:rsidRDefault="00581777" w:rsidP="00581777">
            <w:pPr>
              <w:pStyle w:val="KeinLeerraum"/>
              <w:rPr>
                <w:rFonts w:ascii="Arial" w:hAnsi="Arial" w:cs="Arial"/>
                <w:sz w:val="20"/>
              </w:rPr>
            </w:pPr>
            <w:r w:rsidRPr="00695123">
              <w:rPr>
                <w:rFonts w:ascii="Arial" w:hAnsi="Arial" w:cs="Arial"/>
                <w:sz w:val="20"/>
              </w:rPr>
              <w:t>SC Merkmale haben in der FMEA mindestes eine Fehlerfolge mit der Bedeutung 5,6,7 oder 8.</w:t>
            </w:r>
          </w:p>
          <w:p w14:paraId="6D95C695" w14:textId="77777777" w:rsidR="00581777" w:rsidRPr="00695123" w:rsidRDefault="00581777" w:rsidP="00FC5D4A">
            <w:pPr>
              <w:pStyle w:val="KeinLeerraum"/>
              <w:rPr>
                <w:rFonts w:ascii="Arial" w:eastAsia="Times New Roman" w:hAnsi="Arial" w:cs="Arial"/>
                <w:kern w:val="0"/>
                <w:sz w:val="20"/>
                <w:szCs w:val="20"/>
                <w:lang w:eastAsia="de-DE"/>
                <w14:ligatures w14:val="none"/>
              </w:rPr>
            </w:pPr>
          </w:p>
          <w:p w14:paraId="15C4F52C" w14:textId="084F53AF" w:rsidR="000353E2" w:rsidRPr="00695123" w:rsidRDefault="000353E2"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 xml:space="preserve">Um den wachsenden Anforderungen der Produktsicherheit gerecht zu werden, führt Kayser eine zusätzliche Unterscheidung der </w:t>
            </w:r>
            <w:proofErr w:type="gramStart"/>
            <w:r w:rsidRPr="00695123">
              <w:rPr>
                <w:rFonts w:ascii="Arial" w:eastAsia="Times New Roman" w:hAnsi="Arial" w:cs="Arial"/>
                <w:kern w:val="0"/>
                <w:sz w:val="20"/>
                <w:szCs w:val="20"/>
                <w:lang w:eastAsia="de-DE"/>
                <w14:ligatures w14:val="none"/>
              </w:rPr>
              <w:t>CC Merkmale</w:t>
            </w:r>
            <w:proofErr w:type="gramEnd"/>
            <w:r w:rsidRPr="00695123">
              <w:rPr>
                <w:rFonts w:ascii="Arial" w:eastAsia="Times New Roman" w:hAnsi="Arial" w:cs="Arial"/>
                <w:kern w:val="0"/>
                <w:sz w:val="20"/>
                <w:szCs w:val="20"/>
                <w:lang w:eastAsia="de-DE"/>
                <w14:ligatures w14:val="none"/>
              </w:rPr>
              <w:t xml:space="preserve"> ein.</w:t>
            </w:r>
          </w:p>
          <w:p w14:paraId="4451987D" w14:textId="73110664" w:rsidR="000353E2" w:rsidRPr="00695123" w:rsidRDefault="000353E2"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CC-R zeigt den Einfluss auf Gesetzesanforderungen (Regulation)</w:t>
            </w:r>
          </w:p>
          <w:p w14:paraId="7BB3E0DD" w14:textId="04061275" w:rsidR="000353E2" w:rsidRPr="00695123" w:rsidRDefault="000353E2" w:rsidP="00FC5D4A">
            <w:pPr>
              <w:pStyle w:val="KeinLeerraum"/>
              <w:rPr>
                <w:rFonts w:ascii="Arial" w:eastAsia="Times New Roman" w:hAnsi="Arial" w:cs="Arial"/>
                <w:kern w:val="0"/>
                <w:sz w:val="20"/>
                <w:szCs w:val="20"/>
                <w:lang w:eastAsia="de-DE"/>
                <w14:ligatures w14:val="none"/>
              </w:rPr>
            </w:pPr>
            <w:r w:rsidRPr="00695123">
              <w:rPr>
                <w:rFonts w:ascii="Arial" w:eastAsia="Times New Roman" w:hAnsi="Arial" w:cs="Arial"/>
                <w:kern w:val="0"/>
                <w:sz w:val="20"/>
                <w:szCs w:val="20"/>
                <w:lang w:eastAsia="de-DE"/>
                <w14:ligatures w14:val="none"/>
              </w:rPr>
              <w:t>CC-S zeigt einen Einfluss auf sicherheitsrelevante Fehlerfolgen (</w:t>
            </w:r>
            <w:proofErr w:type="spellStart"/>
            <w:r w:rsidRPr="00695123">
              <w:rPr>
                <w:rFonts w:ascii="Arial" w:eastAsia="Times New Roman" w:hAnsi="Arial" w:cs="Arial"/>
                <w:kern w:val="0"/>
                <w:sz w:val="20"/>
                <w:szCs w:val="20"/>
                <w:lang w:eastAsia="de-DE"/>
                <w14:ligatures w14:val="none"/>
              </w:rPr>
              <w:t>Safety</w:t>
            </w:r>
            <w:proofErr w:type="spellEnd"/>
            <w:r w:rsidRPr="00695123">
              <w:rPr>
                <w:rFonts w:ascii="Arial" w:eastAsia="Times New Roman" w:hAnsi="Arial" w:cs="Arial"/>
                <w:kern w:val="0"/>
                <w:sz w:val="20"/>
                <w:szCs w:val="20"/>
                <w:lang w:eastAsia="de-DE"/>
                <w14:ligatures w14:val="none"/>
              </w:rPr>
              <w:t>)</w:t>
            </w:r>
          </w:p>
          <w:p w14:paraId="53F22C7C" w14:textId="183485BE" w:rsidR="00FC5D4A" w:rsidRPr="00695123" w:rsidRDefault="00FC5D4A" w:rsidP="00BB3E7C">
            <w:pPr>
              <w:autoSpaceDE w:val="0"/>
              <w:autoSpaceDN w:val="0"/>
              <w:adjustRightInd w:val="0"/>
              <w:jc w:val="both"/>
              <w:rPr>
                <w:rFonts w:ascii="Arial" w:hAnsi="Arial" w:cs="Arial"/>
                <w:sz w:val="28"/>
                <w:szCs w:val="28"/>
              </w:rPr>
            </w:pPr>
          </w:p>
        </w:tc>
        <w:tc>
          <w:tcPr>
            <w:tcW w:w="4934" w:type="dxa"/>
            <w:tcBorders>
              <w:top w:val="nil"/>
              <w:left w:val="nil"/>
              <w:bottom w:val="nil"/>
              <w:right w:val="nil"/>
            </w:tcBorders>
          </w:tcPr>
          <w:p w14:paraId="6EFE590D" w14:textId="434032BF" w:rsidR="00A71103" w:rsidRPr="00695123" w:rsidRDefault="00A71103" w:rsidP="000B7F11">
            <w:pPr>
              <w:pStyle w:val="berschriftEN1"/>
              <w:numPr>
                <w:ilvl w:val="0"/>
                <w:numId w:val="0"/>
              </w:numPr>
              <w:rPr>
                <w:lang w:val="en-US"/>
              </w:rPr>
            </w:pPr>
            <w:r w:rsidRPr="00695123">
              <w:rPr>
                <w:bCs/>
                <w:szCs w:val="28"/>
                <w:lang w:val="en-US"/>
              </w:rPr>
              <w:t>§ 1</w:t>
            </w:r>
            <w:r w:rsidR="00F52404" w:rsidRPr="00695123">
              <w:rPr>
                <w:bCs/>
                <w:szCs w:val="28"/>
                <w:lang w:val="en-US"/>
              </w:rPr>
              <w:t>5</w:t>
            </w:r>
            <w:r w:rsidRPr="00695123">
              <w:rPr>
                <w:bCs/>
                <w:szCs w:val="28"/>
                <w:lang w:val="en-US"/>
              </w:rPr>
              <w:t>. Special Characteristics</w:t>
            </w:r>
          </w:p>
          <w:p w14:paraId="2EAB2EB7" w14:textId="1B55B8E4" w:rsidR="00FC5D4A" w:rsidRPr="00695123" w:rsidRDefault="00FC5D4A" w:rsidP="00FC5D4A">
            <w:pPr>
              <w:pStyle w:val="StandardDEEN"/>
              <w:rPr>
                <w:lang w:val="en-US"/>
              </w:rPr>
            </w:pPr>
            <w:r w:rsidRPr="00695123">
              <w:rPr>
                <w:lang w:val="en-GB"/>
              </w:rPr>
              <w:t xml:space="preserve">Kayser describes product requirements on the technical drawings, </w:t>
            </w:r>
            <w:r w:rsidRPr="00695123">
              <w:rPr>
                <w:lang w:val="en-US"/>
              </w:rPr>
              <w:t>specifications and relevant purchasing documents.</w:t>
            </w:r>
          </w:p>
          <w:p w14:paraId="782BDC66" w14:textId="77777777" w:rsidR="00FC5D4A" w:rsidRPr="00695123" w:rsidRDefault="00FC5D4A" w:rsidP="00FC5D4A">
            <w:pPr>
              <w:pStyle w:val="StandardDEEN"/>
              <w:rPr>
                <w:lang w:val="en-US"/>
              </w:rPr>
            </w:pPr>
            <w:r w:rsidRPr="00695123">
              <w:rPr>
                <w:lang w:val="en-US"/>
              </w:rPr>
              <w:t>All characteristics shall be complied with. There are characteristics with higher risks which require special consideration “Special Characteristics”.</w:t>
            </w:r>
          </w:p>
          <w:p w14:paraId="45B31E8E" w14:textId="77777777" w:rsidR="00FC5D4A" w:rsidRPr="00695123" w:rsidRDefault="00FC5D4A" w:rsidP="00FC5D4A">
            <w:pPr>
              <w:pStyle w:val="StandardDEEN"/>
              <w:rPr>
                <w:lang w:val="en-US"/>
              </w:rPr>
            </w:pPr>
            <w:r w:rsidRPr="00695123">
              <w:rPr>
                <w:lang w:val="en-US"/>
              </w:rPr>
              <w:t>Deviations in these characteristics can seriously affect product safety, product lifetime, assembly capability, product functionality, quality and can violate official or legal regulations.</w:t>
            </w:r>
          </w:p>
          <w:p w14:paraId="03A7FDD7" w14:textId="416435DC" w:rsidR="00FC5D4A" w:rsidRPr="00695123" w:rsidRDefault="00D023B7" w:rsidP="00FC5D4A">
            <w:pPr>
              <w:pStyle w:val="StandardDEEN"/>
              <w:rPr>
                <w:lang w:val="en-US"/>
              </w:rPr>
            </w:pPr>
            <w:r w:rsidRPr="00695123">
              <w:rPr>
                <w:lang w:val="en-US"/>
              </w:rPr>
              <w:br/>
            </w:r>
            <w:r w:rsidR="00FC5D4A" w:rsidRPr="00695123">
              <w:rPr>
                <w:lang w:val="en-US"/>
              </w:rPr>
              <w:t>Special Characteristics are specified by Kayser and documented on the drawings and/or specifications. They are to be identified as well, from the risk analysis of the supplier, e.g. from the product and/or process FMEA, based on the supplier’s experience and knowledge.</w:t>
            </w:r>
          </w:p>
          <w:p w14:paraId="5EC1C2D2" w14:textId="319D71C8" w:rsidR="00FC5D4A" w:rsidRPr="00695123" w:rsidRDefault="00FC5D4A" w:rsidP="00FC5D4A">
            <w:pPr>
              <w:pStyle w:val="StandardDEEN"/>
              <w:rPr>
                <w:lang w:val="en-US"/>
              </w:rPr>
            </w:pPr>
            <w:r w:rsidRPr="00695123">
              <w:rPr>
                <w:lang w:val="en-US"/>
              </w:rPr>
              <w:t>Special Characteristics as defined by Kayser are categorized as follows:</w:t>
            </w:r>
          </w:p>
          <w:p w14:paraId="4A5BE873" w14:textId="355DEA86" w:rsidR="00FC5D4A" w:rsidRPr="00695123" w:rsidRDefault="00FC5D4A" w:rsidP="00FC5D4A">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 xml:space="preserve">CC = </w:t>
            </w:r>
            <w:r w:rsidR="0077162E" w:rsidRPr="00695123">
              <w:rPr>
                <w:rFonts w:ascii="Arial" w:eastAsia="Times New Roman" w:hAnsi="Arial" w:cs="Arial"/>
                <w:kern w:val="0"/>
                <w:sz w:val="20"/>
                <w:szCs w:val="20"/>
                <w:lang w:val="en-US" w:eastAsia="de-DE"/>
                <w14:ligatures w14:val="none"/>
              </w:rPr>
              <w:t>C</w:t>
            </w:r>
            <w:r w:rsidRPr="00695123">
              <w:rPr>
                <w:rFonts w:ascii="Arial" w:eastAsia="Times New Roman" w:hAnsi="Arial" w:cs="Arial"/>
                <w:kern w:val="0"/>
                <w:sz w:val="20"/>
                <w:szCs w:val="20"/>
                <w:lang w:val="en-US" w:eastAsia="de-DE"/>
                <w14:ligatures w14:val="none"/>
              </w:rPr>
              <w:t>ritical characteristics</w:t>
            </w:r>
          </w:p>
          <w:p w14:paraId="43338A74" w14:textId="77777777" w:rsidR="00FC5D4A" w:rsidRPr="00695123" w:rsidRDefault="00FC5D4A" w:rsidP="00FC5D4A">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SC = Significant characteristics</w:t>
            </w:r>
          </w:p>
          <w:p w14:paraId="61D50EE5" w14:textId="77777777" w:rsidR="00FC5D4A" w:rsidRPr="00695123" w:rsidRDefault="00FC5D4A" w:rsidP="00FC5D4A">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PCC = Process capability characteristics</w:t>
            </w:r>
          </w:p>
          <w:p w14:paraId="5526F9D5" w14:textId="77777777" w:rsidR="00642DD2" w:rsidRPr="00695123" w:rsidRDefault="00642DD2" w:rsidP="00FC5D4A">
            <w:pPr>
              <w:pStyle w:val="KeinLeerraum"/>
              <w:rPr>
                <w:rFonts w:ascii="Arial" w:eastAsia="Times New Roman" w:hAnsi="Arial" w:cs="Arial"/>
                <w:kern w:val="0"/>
                <w:sz w:val="20"/>
                <w:szCs w:val="20"/>
                <w:lang w:val="en-US" w:eastAsia="de-DE"/>
                <w14:ligatures w14:val="none"/>
              </w:rPr>
            </w:pPr>
          </w:p>
          <w:p w14:paraId="3749B570" w14:textId="77777777" w:rsidR="00642DD2" w:rsidRPr="00695123" w:rsidRDefault="00642DD2" w:rsidP="00642DD2">
            <w:pPr>
              <w:pStyle w:val="KeinLeerraum"/>
              <w:rPr>
                <w:rFonts w:ascii="Arial" w:hAnsi="Arial" w:cs="Arial"/>
                <w:sz w:val="20"/>
                <w:szCs w:val="20"/>
                <w:lang w:val="en-US"/>
              </w:rPr>
            </w:pPr>
            <w:r w:rsidRPr="00695123">
              <w:rPr>
                <w:rFonts w:ascii="Arial" w:hAnsi="Arial" w:cs="Arial"/>
                <w:sz w:val="20"/>
                <w:szCs w:val="20"/>
                <w:lang w:val="en-US"/>
              </w:rPr>
              <w:t>Evaluation of the special characteristics in the FMEA if not specified by the end customer.</w:t>
            </w:r>
          </w:p>
          <w:p w14:paraId="21C26DDE" w14:textId="571A2578" w:rsidR="00642DD2" w:rsidRPr="00695123" w:rsidRDefault="00642DD2" w:rsidP="00642DD2">
            <w:pPr>
              <w:pStyle w:val="KeinLeerraum"/>
              <w:rPr>
                <w:rFonts w:ascii="Arial" w:hAnsi="Arial" w:cs="Arial"/>
                <w:sz w:val="20"/>
                <w:szCs w:val="20"/>
                <w:lang w:val="en-US"/>
              </w:rPr>
            </w:pPr>
            <w:r w:rsidRPr="00695123">
              <w:rPr>
                <w:rFonts w:ascii="Arial" w:hAnsi="Arial" w:cs="Arial"/>
                <w:sz w:val="20"/>
                <w:szCs w:val="20"/>
                <w:lang w:val="en-US"/>
              </w:rPr>
              <w:t xml:space="preserve">CC characteristics must show a failure sequence with the </w:t>
            </w:r>
            <w:r w:rsidR="0050756A" w:rsidRPr="00695123">
              <w:rPr>
                <w:rFonts w:ascii="Arial" w:hAnsi="Arial" w:cs="Arial"/>
                <w:sz w:val="20"/>
                <w:szCs w:val="20"/>
                <w:lang w:val="en-US"/>
              </w:rPr>
              <w:t>severity</w:t>
            </w:r>
            <w:r w:rsidRPr="00695123">
              <w:rPr>
                <w:rFonts w:ascii="Arial" w:hAnsi="Arial" w:cs="Arial"/>
                <w:sz w:val="20"/>
                <w:szCs w:val="20"/>
                <w:lang w:val="en-US"/>
              </w:rPr>
              <w:t xml:space="preserve"> 9 or 10 in the FMEA.</w:t>
            </w:r>
          </w:p>
          <w:p w14:paraId="53E6DC4A" w14:textId="77777777" w:rsidR="00642DD2" w:rsidRPr="00695123" w:rsidRDefault="00642DD2" w:rsidP="00642DD2">
            <w:pPr>
              <w:pStyle w:val="KeinLeerraum"/>
              <w:rPr>
                <w:lang w:val="en-US"/>
              </w:rPr>
            </w:pPr>
            <w:r w:rsidRPr="00695123">
              <w:rPr>
                <w:rFonts w:ascii="Arial" w:hAnsi="Arial" w:cs="Arial"/>
                <w:sz w:val="20"/>
                <w:szCs w:val="20"/>
                <w:lang w:val="en-US"/>
              </w:rPr>
              <w:t>SC characteristics have at least one failure sequence with the meaning 5, 6, 7 or 8 in the FMEA</w:t>
            </w:r>
            <w:r w:rsidRPr="00695123">
              <w:rPr>
                <w:lang w:val="en-US"/>
              </w:rPr>
              <w:t>.</w:t>
            </w:r>
          </w:p>
          <w:p w14:paraId="5F4FB575" w14:textId="77777777" w:rsidR="000353E2" w:rsidRPr="00695123" w:rsidRDefault="000353E2" w:rsidP="000353E2">
            <w:pPr>
              <w:pStyle w:val="KeinLeerraum"/>
              <w:rPr>
                <w:rFonts w:ascii="Arial" w:eastAsia="Times New Roman" w:hAnsi="Arial" w:cs="Arial"/>
                <w:kern w:val="0"/>
                <w:sz w:val="20"/>
                <w:szCs w:val="20"/>
                <w:lang w:val="en-US" w:eastAsia="de-DE"/>
                <w14:ligatures w14:val="none"/>
              </w:rPr>
            </w:pPr>
            <w:proofErr w:type="gramStart"/>
            <w:r w:rsidRPr="00695123">
              <w:rPr>
                <w:rFonts w:ascii="Arial" w:eastAsia="Times New Roman" w:hAnsi="Arial" w:cs="Arial"/>
                <w:kern w:val="0"/>
                <w:sz w:val="20"/>
                <w:szCs w:val="20"/>
                <w:lang w:val="en-US" w:eastAsia="de-DE"/>
                <w14:ligatures w14:val="none"/>
              </w:rPr>
              <w:t>In order to</w:t>
            </w:r>
            <w:proofErr w:type="gramEnd"/>
            <w:r w:rsidRPr="00695123">
              <w:rPr>
                <w:rFonts w:ascii="Arial" w:eastAsia="Times New Roman" w:hAnsi="Arial" w:cs="Arial"/>
                <w:kern w:val="0"/>
                <w:sz w:val="20"/>
                <w:szCs w:val="20"/>
                <w:lang w:val="en-US" w:eastAsia="de-DE"/>
                <w14:ligatures w14:val="none"/>
              </w:rPr>
              <w:t xml:space="preserve"> meet the growing demands of product safety, Kayser is introducing an additional differentiation of CC characteristics.</w:t>
            </w:r>
          </w:p>
          <w:p w14:paraId="0FF139C0" w14:textId="77777777" w:rsidR="000353E2" w:rsidRPr="00695123" w:rsidRDefault="000353E2" w:rsidP="000353E2">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CC-R shows the influence on legal requirements (Regulation)</w:t>
            </w:r>
          </w:p>
          <w:p w14:paraId="344131F9" w14:textId="77777777" w:rsidR="000353E2" w:rsidRPr="00695123" w:rsidRDefault="000353E2" w:rsidP="000353E2">
            <w:pPr>
              <w:pStyle w:val="KeinLeerraum"/>
              <w:rPr>
                <w:rFonts w:ascii="Arial" w:eastAsia="Times New Roman" w:hAnsi="Arial" w:cs="Arial"/>
                <w:kern w:val="0"/>
                <w:sz w:val="20"/>
                <w:szCs w:val="20"/>
                <w:lang w:val="en-US" w:eastAsia="de-DE"/>
                <w14:ligatures w14:val="none"/>
              </w:rPr>
            </w:pPr>
            <w:r w:rsidRPr="00695123">
              <w:rPr>
                <w:rFonts w:ascii="Arial" w:eastAsia="Times New Roman" w:hAnsi="Arial" w:cs="Arial"/>
                <w:kern w:val="0"/>
                <w:sz w:val="20"/>
                <w:szCs w:val="20"/>
                <w:lang w:val="en-US" w:eastAsia="de-DE"/>
                <w14:ligatures w14:val="none"/>
              </w:rPr>
              <w:t>CC-S shows the influence on safety-relevant consequences of defects (Safety)</w:t>
            </w:r>
          </w:p>
          <w:p w14:paraId="4DC0970C" w14:textId="3AFDB1DE" w:rsidR="000353E2" w:rsidRPr="00695123" w:rsidRDefault="000353E2" w:rsidP="00642DD2">
            <w:pPr>
              <w:pStyle w:val="KeinLeerraum"/>
              <w:rPr>
                <w:lang w:val="en-US"/>
              </w:rPr>
            </w:pPr>
          </w:p>
        </w:tc>
      </w:tr>
      <w:tr w:rsidR="00695123" w:rsidRPr="00695123" w14:paraId="17041CC1" w14:textId="77777777" w:rsidTr="00AD39CE">
        <w:tc>
          <w:tcPr>
            <w:tcW w:w="4988" w:type="dxa"/>
            <w:tcBorders>
              <w:top w:val="nil"/>
              <w:left w:val="nil"/>
              <w:bottom w:val="nil"/>
              <w:right w:val="nil"/>
            </w:tcBorders>
          </w:tcPr>
          <w:p w14:paraId="02012497" w14:textId="11E19374" w:rsidR="0057796A" w:rsidRPr="00695123" w:rsidRDefault="0057796A" w:rsidP="00915912">
            <w:pPr>
              <w:pStyle w:val="berschrift1"/>
              <w:numPr>
                <w:ilvl w:val="0"/>
                <w:numId w:val="0"/>
              </w:numPr>
              <w:ind w:left="357" w:hanging="357"/>
            </w:pPr>
            <w:bookmarkStart w:id="35" w:name="_Toc492627348"/>
            <w:bookmarkStart w:id="36" w:name="_Toc492643821"/>
            <w:r w:rsidRPr="00695123">
              <w:t>§ 1</w:t>
            </w:r>
            <w:r w:rsidR="00E73A58" w:rsidRPr="00695123">
              <w:t>6</w:t>
            </w:r>
            <w:r w:rsidRPr="00695123">
              <w:t xml:space="preserve">. </w:t>
            </w:r>
            <w:proofErr w:type="spellStart"/>
            <w:r w:rsidRPr="00695123">
              <w:t>Requalifikation</w:t>
            </w:r>
            <w:bookmarkEnd w:id="35"/>
            <w:bookmarkEnd w:id="36"/>
            <w:proofErr w:type="spellEnd"/>
          </w:p>
          <w:p w14:paraId="00E562A4" w14:textId="18FA828F" w:rsidR="00B66316" w:rsidRPr="00695123" w:rsidRDefault="0057796A" w:rsidP="00AF30BE">
            <w:pPr>
              <w:pStyle w:val="StandardDEEN"/>
            </w:pPr>
            <w:r w:rsidRPr="00695123">
              <w:t xml:space="preserve">Der Lieferant führt mindestens einmal pro Jahr selbstständig eine </w:t>
            </w:r>
            <w:proofErr w:type="spellStart"/>
            <w:r w:rsidRPr="00695123">
              <w:t>Requalifikationsprüfung</w:t>
            </w:r>
            <w:proofErr w:type="spellEnd"/>
            <w:r w:rsidR="00E83853" w:rsidRPr="00695123">
              <w:t xml:space="preserve"> (für Produkt und Prozess)</w:t>
            </w:r>
            <w:r w:rsidRPr="00695123">
              <w:t xml:space="preserve"> </w:t>
            </w:r>
            <w:r w:rsidR="00205DBD" w:rsidRPr="00695123">
              <w:t xml:space="preserve">nach den Anforderungen der IATF </w:t>
            </w:r>
            <w:proofErr w:type="gramStart"/>
            <w:r w:rsidR="00205DBD" w:rsidRPr="00695123">
              <w:t>16949</w:t>
            </w:r>
            <w:r w:rsidR="00E83853" w:rsidRPr="00695123">
              <w:t xml:space="preserve"> </w:t>
            </w:r>
            <w:r w:rsidR="00205DBD" w:rsidRPr="00695123">
              <w:t xml:space="preserve"> </w:t>
            </w:r>
            <w:r w:rsidRPr="00695123">
              <w:t>durch</w:t>
            </w:r>
            <w:proofErr w:type="gramEnd"/>
            <w:r w:rsidRPr="00695123">
              <w:t xml:space="preserve"> und stellt </w:t>
            </w:r>
            <w:r w:rsidRPr="00695123">
              <w:rPr>
                <w:rFonts w:cs="HelveticaNeue-Light"/>
              </w:rPr>
              <w:t>KAYSER</w:t>
            </w:r>
            <w:r w:rsidRPr="00695123">
              <w:t xml:space="preserve"> die Ergebnisse aus diesen Prüfungen auf Anforderung</w:t>
            </w:r>
            <w:r w:rsidR="00434EBE" w:rsidRPr="00695123">
              <w:t xml:space="preserve"> innerhalb von 24 Stunden</w:t>
            </w:r>
            <w:r w:rsidRPr="00695123">
              <w:t xml:space="preserve"> zur Verfügung. Die </w:t>
            </w:r>
            <w:proofErr w:type="spellStart"/>
            <w:r w:rsidRPr="00695123">
              <w:t>Requalifikationsprüfung</w:t>
            </w:r>
            <w:proofErr w:type="spellEnd"/>
            <w:r w:rsidRPr="00695123">
              <w:t xml:space="preserve"> muss Bestandteil des</w:t>
            </w:r>
            <w:r w:rsidR="00437200" w:rsidRPr="00695123">
              <w:t xml:space="preserve"> </w:t>
            </w:r>
            <w:proofErr w:type="gramStart"/>
            <w:r w:rsidR="00437200" w:rsidRPr="00695123">
              <w:rPr>
                <w:rFonts w:cs="HelveticaNeue-Light"/>
              </w:rPr>
              <w:t>Produktionslenkungsplan</w:t>
            </w:r>
            <w:r w:rsidRPr="00695123">
              <w:t xml:space="preserve">  sein</w:t>
            </w:r>
            <w:proofErr w:type="gramEnd"/>
            <w:r w:rsidRPr="00695123">
              <w:t xml:space="preserve">. Wenn die Ergebnisse der </w:t>
            </w:r>
            <w:proofErr w:type="spellStart"/>
            <w:r w:rsidRPr="00695123">
              <w:t>Requlifikation</w:t>
            </w:r>
            <w:proofErr w:type="spellEnd"/>
            <w:r w:rsidRPr="00695123">
              <w:t xml:space="preserve"> durch KAYSER angefordert werden, </w:t>
            </w:r>
            <w:r w:rsidR="001E6963" w:rsidRPr="00695123">
              <w:t>i</w:t>
            </w:r>
            <w:r w:rsidR="00205DBD" w:rsidRPr="00695123">
              <w:t>st die gleiche Dokumentation entsprechend §</w:t>
            </w:r>
            <w:r w:rsidR="00C75711" w:rsidRPr="00695123">
              <w:t xml:space="preserve"> </w:t>
            </w:r>
            <w:r w:rsidR="00205DBD" w:rsidRPr="00695123">
              <w:t>4 der Erstbemusterung zu verwenden</w:t>
            </w:r>
            <w:r w:rsidR="00434EBE" w:rsidRPr="00695123">
              <w:t>, wenn kein</w:t>
            </w:r>
            <w:r w:rsidR="00434EBE" w:rsidRPr="00695123">
              <w:rPr>
                <w:rFonts w:cs="HelveticaNeue-Light"/>
              </w:rPr>
              <w:t xml:space="preserve"> anderer</w:t>
            </w:r>
            <w:r w:rsidR="00AF30BE" w:rsidRPr="00695123">
              <w:rPr>
                <w:rFonts w:cs="HelveticaNeue-Light"/>
              </w:rPr>
              <w:t xml:space="preserve"> Umfang</w:t>
            </w:r>
            <w:r w:rsidR="00AF30BE" w:rsidRPr="00695123">
              <w:t xml:space="preserve"> der </w:t>
            </w:r>
            <w:proofErr w:type="spellStart"/>
            <w:r w:rsidR="00AF30BE" w:rsidRPr="00695123">
              <w:t>Requalifikation</w:t>
            </w:r>
            <w:proofErr w:type="spellEnd"/>
            <w:r w:rsidR="00AF30BE" w:rsidRPr="00695123">
              <w:t xml:space="preserve"> im Bemusterungsabstimmungsgespräch </w:t>
            </w:r>
            <w:r w:rsidR="00434EBE" w:rsidRPr="00695123">
              <w:t>abgestimmt wurde</w:t>
            </w:r>
            <w:r w:rsidR="00AF30BE" w:rsidRPr="00695123">
              <w:t xml:space="preserve">. </w:t>
            </w:r>
            <w:r w:rsidR="00205DBD" w:rsidRPr="00695123">
              <w:t xml:space="preserve">Stellt der Lieferant im Rahmen der </w:t>
            </w:r>
            <w:proofErr w:type="spellStart"/>
            <w:r w:rsidR="00205DBD" w:rsidRPr="00695123">
              <w:t>Requalifikation</w:t>
            </w:r>
            <w:proofErr w:type="spellEnd"/>
            <w:r w:rsidR="00205DBD" w:rsidRPr="00695123">
              <w:t xml:space="preserve"> Abweichung zu Zeichnung, Lastenheft und/oder anderer Spezifikationen fest, so hat er</w:t>
            </w:r>
            <w:r w:rsidR="00205DBD" w:rsidRPr="00695123">
              <w:rPr>
                <w:strike/>
              </w:rPr>
              <w:t xml:space="preserve"> </w:t>
            </w:r>
            <w:r w:rsidR="00205DBD" w:rsidRPr="00695123">
              <w:t>unverzüglich</w:t>
            </w:r>
            <w:r w:rsidR="00E83853" w:rsidRPr="00695123">
              <w:t xml:space="preserve"> </w:t>
            </w:r>
            <w:r w:rsidR="0048050F" w:rsidRPr="00695123">
              <w:t>alle belieferten Kayser Werke mit Risikoanalyse und aussagefähigem Maßnahmenplan (8D Report) zu informieren.</w:t>
            </w:r>
          </w:p>
        </w:tc>
        <w:tc>
          <w:tcPr>
            <w:tcW w:w="4934" w:type="dxa"/>
            <w:tcBorders>
              <w:top w:val="nil"/>
              <w:left w:val="nil"/>
              <w:bottom w:val="nil"/>
              <w:right w:val="nil"/>
            </w:tcBorders>
          </w:tcPr>
          <w:p w14:paraId="7B05E061" w14:textId="2CAB4CE2" w:rsidR="001954AE" w:rsidRPr="00695123" w:rsidRDefault="001954AE" w:rsidP="00AB30AD">
            <w:pPr>
              <w:pStyle w:val="berschriftEN1"/>
              <w:numPr>
                <w:ilvl w:val="0"/>
                <w:numId w:val="0"/>
              </w:numPr>
              <w:rPr>
                <w:lang w:val="en-US"/>
              </w:rPr>
            </w:pPr>
            <w:bookmarkStart w:id="37" w:name="_Toc492550469"/>
            <w:bookmarkStart w:id="38" w:name="_Toc492643822"/>
            <w:r w:rsidRPr="00695123">
              <w:rPr>
                <w:lang w:val="en-US"/>
              </w:rPr>
              <w:t>§ 1</w:t>
            </w:r>
            <w:r w:rsidR="00E73A58" w:rsidRPr="00695123">
              <w:rPr>
                <w:lang w:val="en-US"/>
              </w:rPr>
              <w:t>6</w:t>
            </w:r>
            <w:r w:rsidRPr="00695123">
              <w:rPr>
                <w:lang w:val="en-US"/>
              </w:rPr>
              <w:t>. Requalification</w:t>
            </w:r>
            <w:bookmarkEnd w:id="37"/>
            <w:bookmarkEnd w:id="38"/>
          </w:p>
          <w:p w14:paraId="2B7DDFEC" w14:textId="73F979C6" w:rsidR="00546FD3" w:rsidRPr="00695123" w:rsidRDefault="001954AE" w:rsidP="005C29F4">
            <w:pPr>
              <w:pStyle w:val="StandardDEEN"/>
              <w:rPr>
                <w:lang w:val="en-GB"/>
              </w:rPr>
            </w:pPr>
            <w:r w:rsidRPr="00695123">
              <w:rPr>
                <w:lang w:val="en-US"/>
              </w:rPr>
              <w:t>The Supplier shall independently conduct a requalification t</w:t>
            </w:r>
            <w:proofErr w:type="spellStart"/>
            <w:r w:rsidRPr="00695123">
              <w:rPr>
                <w:lang w:val="en-GB"/>
              </w:rPr>
              <w:t>est</w:t>
            </w:r>
            <w:proofErr w:type="spellEnd"/>
            <w:r w:rsidR="00E83853" w:rsidRPr="00695123">
              <w:rPr>
                <w:lang w:val="en-GB"/>
              </w:rPr>
              <w:t xml:space="preserve"> (for product and </w:t>
            </w:r>
            <w:proofErr w:type="gramStart"/>
            <w:r w:rsidR="00E83853" w:rsidRPr="00695123">
              <w:rPr>
                <w:lang w:val="en-GB"/>
              </w:rPr>
              <w:t xml:space="preserve">process) </w:t>
            </w:r>
            <w:r w:rsidRPr="00695123">
              <w:rPr>
                <w:lang w:val="en-GB"/>
              </w:rPr>
              <w:t xml:space="preserve"> </w:t>
            </w:r>
            <w:r w:rsidR="001E6963" w:rsidRPr="00695123">
              <w:rPr>
                <w:lang w:val="en-GB"/>
              </w:rPr>
              <w:t>according</w:t>
            </w:r>
            <w:proofErr w:type="gramEnd"/>
            <w:r w:rsidR="001E6963" w:rsidRPr="00695123">
              <w:rPr>
                <w:lang w:val="en-GB"/>
              </w:rPr>
              <w:t xml:space="preserve"> to the requirements of IATF 16949 </w:t>
            </w:r>
            <w:r w:rsidRPr="00695123">
              <w:rPr>
                <w:lang w:val="en-GB"/>
              </w:rPr>
              <w:t xml:space="preserve">at least once a year and shall provide KAYSER with the results from these tests </w:t>
            </w:r>
            <w:r w:rsidR="00C80A44" w:rsidRPr="00695123">
              <w:rPr>
                <w:lang w:val="en-GB"/>
              </w:rPr>
              <w:t xml:space="preserve">within 24 hours on </w:t>
            </w:r>
            <w:proofErr w:type="spellStart"/>
            <w:r w:rsidR="00C80A44" w:rsidRPr="00695123">
              <w:rPr>
                <w:lang w:val="en-GB"/>
              </w:rPr>
              <w:t>request.</w:t>
            </w:r>
            <w:r w:rsidRPr="00695123">
              <w:rPr>
                <w:lang w:val="en-GB"/>
              </w:rPr>
              <w:t>The</w:t>
            </w:r>
            <w:proofErr w:type="spellEnd"/>
            <w:r w:rsidRPr="00695123">
              <w:rPr>
                <w:lang w:val="en-GB"/>
              </w:rPr>
              <w:t xml:space="preserve"> requalification test must be part of the</w:t>
            </w:r>
            <w:r w:rsidR="000A572D" w:rsidRPr="00695123">
              <w:rPr>
                <w:lang w:val="en-GB"/>
              </w:rPr>
              <w:t xml:space="preserve"> </w:t>
            </w:r>
            <w:r w:rsidR="00EE33CE" w:rsidRPr="00695123">
              <w:rPr>
                <w:lang w:val="en-GB"/>
              </w:rPr>
              <w:t>control plan</w:t>
            </w:r>
            <w:r w:rsidRPr="00695123">
              <w:rPr>
                <w:lang w:val="en-GB"/>
              </w:rPr>
              <w:t xml:space="preserve">. If the requalification results are requested by KAYSER, </w:t>
            </w:r>
            <w:r w:rsidR="0078195B" w:rsidRPr="00695123">
              <w:rPr>
                <w:lang w:val="en-GB"/>
              </w:rPr>
              <w:t>the same documentation according to §</w:t>
            </w:r>
            <w:r w:rsidR="00C75711" w:rsidRPr="00695123">
              <w:rPr>
                <w:lang w:val="en-GB"/>
              </w:rPr>
              <w:t xml:space="preserve"> </w:t>
            </w:r>
            <w:r w:rsidR="0078195B" w:rsidRPr="00695123">
              <w:rPr>
                <w:lang w:val="en-GB"/>
              </w:rPr>
              <w:t>4 of the initial sampling shall be used</w:t>
            </w:r>
            <w:r w:rsidR="005C29F0" w:rsidRPr="00695123">
              <w:rPr>
                <w:lang w:val="en-GB"/>
              </w:rPr>
              <w:t>,</w:t>
            </w:r>
            <w:r w:rsidR="005C29F0" w:rsidRPr="00695123">
              <w:rPr>
                <w:lang w:val="en-US"/>
              </w:rPr>
              <w:t xml:space="preserve"> </w:t>
            </w:r>
            <w:r w:rsidR="005C29F0" w:rsidRPr="00695123">
              <w:rPr>
                <w:lang w:val="en-GB"/>
              </w:rPr>
              <w:t>if no other scope of requalification has already been agreed in the sampling approval meeting</w:t>
            </w:r>
            <w:r w:rsidR="00E83853" w:rsidRPr="00695123">
              <w:rPr>
                <w:lang w:val="en-GB"/>
              </w:rPr>
              <w:t xml:space="preserve">. </w:t>
            </w:r>
            <w:r w:rsidR="0078195B" w:rsidRPr="00695123">
              <w:rPr>
                <w:lang w:val="en-GB"/>
              </w:rPr>
              <w:t>If Supplier detects deviations from drawings, specifications and/or other specifications within the scope of requalification, it</w:t>
            </w:r>
            <w:r w:rsidR="00E83853" w:rsidRPr="00695123">
              <w:rPr>
                <w:lang w:val="en-GB"/>
              </w:rPr>
              <w:t xml:space="preserve"> </w:t>
            </w:r>
            <w:r w:rsidR="00546FD3" w:rsidRPr="00695123">
              <w:rPr>
                <w:lang w:val="en-GB"/>
              </w:rPr>
              <w:t>must immediately notify KAYSER of this and inform all Kayser plants supplied with a risk analysis and a meaningful action plan (8D report)</w:t>
            </w:r>
          </w:p>
        </w:tc>
      </w:tr>
      <w:tr w:rsidR="00695123" w:rsidRPr="00695123" w14:paraId="7CCF800F" w14:textId="77777777" w:rsidTr="00AD39CE">
        <w:tc>
          <w:tcPr>
            <w:tcW w:w="4988" w:type="dxa"/>
            <w:tcBorders>
              <w:top w:val="nil"/>
              <w:left w:val="nil"/>
              <w:bottom w:val="nil"/>
              <w:right w:val="nil"/>
            </w:tcBorders>
          </w:tcPr>
          <w:p w14:paraId="13CFDE8D" w14:textId="38A3955B" w:rsidR="0057796A" w:rsidRPr="00695123" w:rsidRDefault="0057796A" w:rsidP="00B7318F">
            <w:pPr>
              <w:pStyle w:val="berschrift1"/>
              <w:numPr>
                <w:ilvl w:val="0"/>
                <w:numId w:val="0"/>
              </w:numPr>
              <w:ind w:left="737" w:hanging="737"/>
            </w:pPr>
            <w:bookmarkStart w:id="39" w:name="_Toc492627349"/>
            <w:bookmarkStart w:id="40" w:name="_Toc492643823"/>
            <w:r w:rsidRPr="00695123">
              <w:t>§ 1</w:t>
            </w:r>
            <w:r w:rsidR="004B1745" w:rsidRPr="00695123">
              <w:t>7</w:t>
            </w:r>
            <w:r w:rsidRPr="00695123">
              <w:t>. Dokumentation und Aufbewahrungsfristen</w:t>
            </w:r>
            <w:bookmarkEnd w:id="39"/>
            <w:bookmarkEnd w:id="40"/>
          </w:p>
          <w:p w14:paraId="289970CF" w14:textId="77777777" w:rsidR="0057796A" w:rsidRPr="00695123" w:rsidRDefault="0057796A" w:rsidP="00915912">
            <w:pPr>
              <w:pStyle w:val="StandardDEEN"/>
            </w:pPr>
            <w:r w:rsidRPr="00695123">
              <w:t>Über die im vereinbarten Prüfplan aufgeführten Prüfmerkmale sind folgende Nachweise zu führen:</w:t>
            </w:r>
          </w:p>
          <w:p w14:paraId="218987C6" w14:textId="77777777" w:rsidR="0057796A" w:rsidRPr="00695123" w:rsidRDefault="00915912" w:rsidP="00410CB0">
            <w:pPr>
              <w:pStyle w:val="StandardDEEN"/>
              <w:numPr>
                <w:ilvl w:val="0"/>
                <w:numId w:val="6"/>
              </w:numPr>
              <w:spacing w:before="0"/>
            </w:pPr>
            <w:r w:rsidRPr="00695123">
              <w:t>Prozessfreigabe</w:t>
            </w:r>
          </w:p>
          <w:p w14:paraId="342A70DA" w14:textId="77777777" w:rsidR="0057796A" w:rsidRPr="00695123" w:rsidRDefault="0057796A" w:rsidP="00915912">
            <w:pPr>
              <w:pStyle w:val="StandardDEEN"/>
              <w:spacing w:before="0"/>
              <w:ind w:left="720"/>
            </w:pPr>
            <w:r w:rsidRPr="00695123">
              <w:t>Variable Prüfmerkmale:</w:t>
            </w:r>
          </w:p>
          <w:p w14:paraId="5B381E54" w14:textId="77777777" w:rsidR="0057796A" w:rsidRPr="00695123" w:rsidRDefault="0057796A" w:rsidP="00915912">
            <w:pPr>
              <w:pStyle w:val="StandardDEEN"/>
              <w:spacing w:before="0"/>
              <w:ind w:left="720"/>
            </w:pPr>
            <w:r w:rsidRPr="00695123">
              <w:t xml:space="preserve">Prozessfähigkeitsindizes; </w:t>
            </w:r>
          </w:p>
          <w:p w14:paraId="12F07321" w14:textId="77777777" w:rsidR="0057796A" w:rsidRPr="00695123" w:rsidRDefault="0057796A" w:rsidP="00915912">
            <w:pPr>
              <w:pStyle w:val="StandardDEEN"/>
              <w:spacing w:before="0"/>
              <w:ind w:left="720"/>
            </w:pPr>
            <w:proofErr w:type="spellStart"/>
            <w:r w:rsidRPr="00695123">
              <w:t>cp</w:t>
            </w:r>
            <w:proofErr w:type="spellEnd"/>
            <w:r w:rsidRPr="00695123">
              <w:t xml:space="preserve"> und </w:t>
            </w:r>
            <w:proofErr w:type="spellStart"/>
            <w:r w:rsidRPr="00695123">
              <w:t>cpk</w:t>
            </w:r>
            <w:proofErr w:type="spellEnd"/>
            <w:r w:rsidRPr="00695123">
              <w:t>, Histogramme, Qualitätsregelkarten usw.</w:t>
            </w:r>
          </w:p>
          <w:p w14:paraId="2D7D8112" w14:textId="77777777" w:rsidR="0057796A" w:rsidRPr="00695123" w:rsidRDefault="0057796A" w:rsidP="00957768">
            <w:pPr>
              <w:pStyle w:val="StandardDEEN"/>
              <w:ind w:left="720"/>
            </w:pPr>
            <w:r w:rsidRPr="00695123">
              <w:t>Attributive Prüfmerkmale:</w:t>
            </w:r>
          </w:p>
          <w:p w14:paraId="42CD5F56" w14:textId="77777777" w:rsidR="0057796A" w:rsidRPr="00695123" w:rsidRDefault="0057796A" w:rsidP="00915912">
            <w:pPr>
              <w:pStyle w:val="StandardDEEN"/>
              <w:spacing w:before="0"/>
              <w:ind w:left="720"/>
            </w:pPr>
            <w:r w:rsidRPr="00695123">
              <w:t>Qualitätsprüfzertifikate, Qualitätsregelkarten usw.</w:t>
            </w:r>
          </w:p>
          <w:p w14:paraId="5BCF513D" w14:textId="77777777" w:rsidR="0057796A" w:rsidRPr="00695123" w:rsidRDefault="0057796A" w:rsidP="00957768">
            <w:pPr>
              <w:pStyle w:val="StandardDEEN"/>
              <w:ind w:left="720"/>
            </w:pPr>
            <w:r w:rsidRPr="00695123">
              <w:t>Bis zur Prozessfreigabe sind alle</w:t>
            </w:r>
            <w:r w:rsidR="00915912" w:rsidRPr="00695123">
              <w:t xml:space="preserve">n Lieferungen die vereinbarten </w:t>
            </w:r>
            <w:r w:rsidRPr="00695123">
              <w:t>Qualitätsaufzeichnungen beizufügen.</w:t>
            </w:r>
          </w:p>
          <w:p w14:paraId="3B6C79B0" w14:textId="77777777" w:rsidR="0057796A" w:rsidRPr="00695123" w:rsidRDefault="0057796A" w:rsidP="00410CB0">
            <w:pPr>
              <w:pStyle w:val="StandardDEEN"/>
              <w:numPr>
                <w:ilvl w:val="0"/>
                <w:numId w:val="6"/>
              </w:numPr>
            </w:pPr>
            <w:r w:rsidRPr="00695123">
              <w:t>Qualitätsprüfungen in der laufenden Produktion</w:t>
            </w:r>
          </w:p>
          <w:p w14:paraId="4B851753" w14:textId="77777777" w:rsidR="0057796A" w:rsidRPr="00695123" w:rsidRDefault="0057796A" w:rsidP="00915912">
            <w:pPr>
              <w:pStyle w:val="StandardDEEN"/>
              <w:spacing w:before="0"/>
              <w:ind w:left="720"/>
            </w:pPr>
            <w:r w:rsidRPr="00695123">
              <w:t>Variable Prüfmerkmale:</w:t>
            </w:r>
          </w:p>
          <w:p w14:paraId="4BDCA272" w14:textId="77777777" w:rsidR="0057796A" w:rsidRPr="00695123" w:rsidRDefault="0057796A" w:rsidP="00915912">
            <w:pPr>
              <w:pStyle w:val="StandardDEEN"/>
              <w:spacing w:before="0"/>
              <w:ind w:left="720"/>
            </w:pPr>
            <w:r w:rsidRPr="00695123">
              <w:t>Histogramme, Qualitätsregelkarten usw.</w:t>
            </w:r>
          </w:p>
          <w:p w14:paraId="6A50BA57" w14:textId="77777777" w:rsidR="0057796A" w:rsidRPr="00695123" w:rsidRDefault="0057796A" w:rsidP="00957768">
            <w:pPr>
              <w:pStyle w:val="StandardDEEN"/>
              <w:ind w:left="720"/>
            </w:pPr>
            <w:r w:rsidRPr="00695123">
              <w:t>Attributive Prüfmerkmale:</w:t>
            </w:r>
          </w:p>
          <w:p w14:paraId="36098E06" w14:textId="77777777" w:rsidR="00915912" w:rsidRPr="00695123" w:rsidRDefault="0057796A" w:rsidP="00915912">
            <w:pPr>
              <w:pStyle w:val="StandardDEEN"/>
              <w:spacing w:before="0"/>
              <w:ind w:left="720"/>
            </w:pPr>
            <w:r w:rsidRPr="00695123">
              <w:t>Qualitätsprüfzertifikat, Qualitätsregelkarten usw.</w:t>
            </w:r>
          </w:p>
          <w:p w14:paraId="279A3DAB" w14:textId="77777777" w:rsidR="00915912" w:rsidRPr="00695123" w:rsidRDefault="0057796A" w:rsidP="00410CB0">
            <w:pPr>
              <w:pStyle w:val="StandardDEEN"/>
              <w:numPr>
                <w:ilvl w:val="0"/>
                <w:numId w:val="6"/>
              </w:numPr>
            </w:pPr>
            <w:proofErr w:type="spellStart"/>
            <w:r w:rsidRPr="00695123">
              <w:t>Requalifikation</w:t>
            </w:r>
            <w:proofErr w:type="spellEnd"/>
            <w:r w:rsidRPr="00695123">
              <w:t xml:space="preserve"> </w:t>
            </w:r>
          </w:p>
          <w:p w14:paraId="633C9984" w14:textId="77777777" w:rsidR="0057796A" w:rsidRPr="00695123" w:rsidRDefault="0057796A" w:rsidP="00915912">
            <w:pPr>
              <w:pStyle w:val="StandardDEEN"/>
              <w:spacing w:before="0"/>
              <w:ind w:left="720"/>
            </w:pPr>
            <w:r w:rsidRPr="00695123">
              <w:t xml:space="preserve">Nachweis der durchgeführten </w:t>
            </w:r>
            <w:proofErr w:type="spellStart"/>
            <w:r w:rsidRPr="00695123">
              <w:t>Requalifikation</w:t>
            </w:r>
            <w:proofErr w:type="spellEnd"/>
            <w:r w:rsidRPr="00695123">
              <w:t xml:space="preserve"> und Ergebnisse.</w:t>
            </w:r>
          </w:p>
          <w:p w14:paraId="26DA5956" w14:textId="77777777" w:rsidR="0057796A" w:rsidRPr="00695123" w:rsidRDefault="0057796A" w:rsidP="00915912">
            <w:pPr>
              <w:pStyle w:val="StandardDEEN"/>
            </w:pPr>
            <w:r w:rsidRPr="00695123">
              <w:t>Prüfaufzeichnungen aus der laufenden Produktion sind je nach Vereinbarung den Serienlieferungen beizufügen.</w:t>
            </w:r>
          </w:p>
          <w:p w14:paraId="21A1FFCD" w14:textId="77777777" w:rsidR="0057796A" w:rsidRPr="00695123" w:rsidRDefault="007E2D90" w:rsidP="00915912">
            <w:pPr>
              <w:pStyle w:val="StandardDEEN"/>
            </w:pPr>
            <w:r w:rsidRPr="00695123">
              <w:t xml:space="preserve">Der Lieferant </w:t>
            </w:r>
            <w:proofErr w:type="spellStart"/>
            <w:r w:rsidRPr="00695123">
              <w:t>archviert</w:t>
            </w:r>
            <w:proofErr w:type="spellEnd"/>
            <w:r w:rsidR="0057796A" w:rsidRPr="00695123">
              <w:t xml:space="preserve"> </w:t>
            </w:r>
            <w:r w:rsidRPr="00695123">
              <w:t>sämtliche Dokumentation für einen Zeitraum gemäß der Klassifizierungssystematik des VDA Ba</w:t>
            </w:r>
            <w:r w:rsidR="00B53C88" w:rsidRPr="00695123">
              <w:t xml:space="preserve">nd </w:t>
            </w:r>
            <w:proofErr w:type="gramStart"/>
            <w:r w:rsidR="00B53C88" w:rsidRPr="00695123">
              <w:t>1  „</w:t>
            </w:r>
            <w:proofErr w:type="gramEnd"/>
            <w:r w:rsidR="00B53C88" w:rsidRPr="00695123">
              <w:t>Dokumentierte Informatio</w:t>
            </w:r>
            <w:r w:rsidRPr="00695123">
              <w:t>nen und Aufbewahrung“</w:t>
            </w:r>
            <w:r w:rsidR="00C75711" w:rsidRPr="00695123">
              <w:t xml:space="preserve">, mindestens jedoch jeweils 15 Jahre ab Erstellung der Dokumentation. </w:t>
            </w:r>
          </w:p>
          <w:p w14:paraId="5EDF20DB" w14:textId="28C65C34" w:rsidR="007E2D90" w:rsidRPr="00695123" w:rsidRDefault="007B2A23" w:rsidP="007B2A23">
            <w:pPr>
              <w:pStyle w:val="StandardDEEN"/>
            </w:pPr>
            <w:r w:rsidRPr="00695123">
              <w:t>Hier gelten z.B. unter anderem f</w:t>
            </w:r>
            <w:r w:rsidR="007E2D90" w:rsidRPr="00695123">
              <w:t xml:space="preserve">ür </w:t>
            </w:r>
            <w:r w:rsidRPr="00695123">
              <w:t xml:space="preserve">Dokumente zum laufenden Produktionsprozess wie Prüf- und Messergebnisse </w:t>
            </w:r>
            <w:proofErr w:type="spellStart"/>
            <w:r w:rsidRPr="00695123">
              <w:t>Aufberwahrungsfristen</w:t>
            </w:r>
            <w:proofErr w:type="spellEnd"/>
            <w:r w:rsidRPr="00695123">
              <w:t xml:space="preserve"> von 30 J</w:t>
            </w:r>
            <w:r w:rsidR="00B53C88" w:rsidRPr="00695123">
              <w:t>ahre ab dem Ereignis (Tag der E</w:t>
            </w:r>
            <w:r w:rsidRPr="00695123">
              <w:t>r</w:t>
            </w:r>
            <w:r w:rsidR="00B53C88" w:rsidRPr="00695123">
              <w:t>s</w:t>
            </w:r>
            <w:r w:rsidRPr="00695123">
              <w:t>tellung).</w:t>
            </w:r>
            <w:r w:rsidR="006270CD" w:rsidRPr="00695123">
              <w:t xml:space="preserve"> Gesonderte Kundenspezifische Anforderungen werden von Kayser weitergegeben. </w:t>
            </w:r>
            <w:proofErr w:type="spellStart"/>
            <w:r w:rsidR="006270CD" w:rsidRPr="00695123">
              <w:t>Beispile</w:t>
            </w:r>
            <w:proofErr w:type="spellEnd"/>
            <w:r w:rsidR="006270CD" w:rsidRPr="00695123">
              <w:t xml:space="preserve"> GM 50 Jahre.</w:t>
            </w:r>
          </w:p>
          <w:p w14:paraId="30FC530B" w14:textId="79198FD7" w:rsidR="0057796A" w:rsidRPr="00695123" w:rsidRDefault="00205DBD" w:rsidP="00915912">
            <w:pPr>
              <w:pStyle w:val="StandardDEEN"/>
            </w:pPr>
            <w:r w:rsidRPr="00695123">
              <w:t xml:space="preserve">Die </w:t>
            </w:r>
            <w:r w:rsidR="00C703BA" w:rsidRPr="00695123">
              <w:t>Definition</w:t>
            </w:r>
            <w:r w:rsidRPr="00695123">
              <w:t xml:space="preserve"> un</w:t>
            </w:r>
            <w:r w:rsidR="00C75711" w:rsidRPr="00695123">
              <w:t>d</w:t>
            </w:r>
            <w:r w:rsidRPr="00695123">
              <w:t xml:space="preserve"> Kennzeichnung</w:t>
            </w:r>
            <w:r w:rsidR="0057796A" w:rsidRPr="00695123">
              <w:t xml:space="preserve"> der </w:t>
            </w:r>
            <w:r w:rsidRPr="00695123">
              <w:t xml:space="preserve">kritischen </w:t>
            </w:r>
            <w:r w:rsidR="0057796A" w:rsidRPr="00695123">
              <w:t>Merkmale und Dokumente erfolgt auf Grundlage der</w:t>
            </w:r>
            <w:r w:rsidRPr="00695123">
              <w:t xml:space="preserve"> aktuell gültigen Gesetze,</w:t>
            </w:r>
            <w:r w:rsidR="0057796A" w:rsidRPr="00695123">
              <w:t xml:space="preserve"> Zeichnung</w:t>
            </w:r>
            <w:r w:rsidR="00C75711" w:rsidRPr="00695123">
              <w:t>en</w:t>
            </w:r>
            <w:r w:rsidR="0057796A" w:rsidRPr="00695123">
              <w:t xml:space="preserve">, mitgeltenden Normen oder </w:t>
            </w:r>
            <w:r w:rsidR="00643F9E" w:rsidRPr="00695123">
              <w:t>Spezifikationen, Bestellung</w:t>
            </w:r>
            <w:r w:rsidR="00C75711" w:rsidRPr="00695123">
              <w:t>en</w:t>
            </w:r>
            <w:r w:rsidR="00643F9E" w:rsidRPr="00695123">
              <w:t xml:space="preserve">, </w:t>
            </w:r>
            <w:r w:rsidR="0057796A" w:rsidRPr="00695123">
              <w:t xml:space="preserve">dem </w:t>
            </w:r>
            <w:proofErr w:type="gramStart"/>
            <w:r w:rsidR="0057796A" w:rsidRPr="00695123">
              <w:t>VDA Band</w:t>
            </w:r>
            <w:proofErr w:type="gramEnd"/>
            <w:r w:rsidR="0057796A" w:rsidRPr="00695123">
              <w:t xml:space="preserve"> 1</w:t>
            </w:r>
            <w:r w:rsidRPr="00695123">
              <w:t xml:space="preserve"> und dem VDA Band „besondere Merkmale“</w:t>
            </w:r>
            <w:r w:rsidR="0057796A" w:rsidRPr="00695123">
              <w:t>.</w:t>
            </w:r>
          </w:p>
          <w:p w14:paraId="5B0A8C89" w14:textId="77777777" w:rsidR="00B66316" w:rsidRPr="00695123" w:rsidRDefault="0057796A" w:rsidP="00915912">
            <w:pPr>
              <w:pStyle w:val="StandardDEEN"/>
            </w:pPr>
            <w:r w:rsidRPr="00695123">
              <w:t>Die Prüfergebnisse sind KAYSER auf Anforderung zur Verfügung zu stellen.</w:t>
            </w:r>
          </w:p>
        </w:tc>
        <w:tc>
          <w:tcPr>
            <w:tcW w:w="4934" w:type="dxa"/>
            <w:tcBorders>
              <w:top w:val="nil"/>
              <w:left w:val="nil"/>
              <w:bottom w:val="nil"/>
              <w:right w:val="nil"/>
            </w:tcBorders>
          </w:tcPr>
          <w:p w14:paraId="3EBE3ECF" w14:textId="4BA446D8" w:rsidR="001954AE" w:rsidRPr="00695123" w:rsidRDefault="001954AE" w:rsidP="00B7318F">
            <w:pPr>
              <w:pStyle w:val="berschriftEN1"/>
              <w:numPr>
                <w:ilvl w:val="0"/>
                <w:numId w:val="0"/>
              </w:numPr>
              <w:ind w:left="737" w:hanging="737"/>
              <w:rPr>
                <w:lang w:val="en-US"/>
              </w:rPr>
            </w:pPr>
            <w:bookmarkStart w:id="41" w:name="_Toc492550470"/>
            <w:bookmarkStart w:id="42" w:name="_Toc492643824"/>
            <w:r w:rsidRPr="00695123">
              <w:rPr>
                <w:lang w:val="en-US"/>
              </w:rPr>
              <w:t>§ 1</w:t>
            </w:r>
            <w:r w:rsidR="004B1745" w:rsidRPr="00695123">
              <w:rPr>
                <w:lang w:val="en-US"/>
              </w:rPr>
              <w:t>7</w:t>
            </w:r>
            <w:r w:rsidRPr="00695123">
              <w:rPr>
                <w:lang w:val="en-US"/>
              </w:rPr>
              <w:t>. Documentation and storage periods</w:t>
            </w:r>
            <w:bookmarkEnd w:id="41"/>
            <w:bookmarkEnd w:id="42"/>
            <w:r w:rsidRPr="00695123">
              <w:rPr>
                <w:lang w:val="en-US"/>
              </w:rPr>
              <w:t xml:space="preserve"> </w:t>
            </w:r>
          </w:p>
          <w:p w14:paraId="237C5947" w14:textId="77777777" w:rsidR="001954AE" w:rsidRPr="00695123" w:rsidRDefault="001954AE" w:rsidP="005C29F4">
            <w:pPr>
              <w:pStyle w:val="StandardDEEN"/>
              <w:rPr>
                <w:lang w:val="en-US"/>
              </w:rPr>
            </w:pPr>
            <w:r w:rsidRPr="00695123">
              <w:rPr>
                <w:lang w:val="en-US"/>
              </w:rPr>
              <w:t>The following evidence must be provided on the test features listed in the agreed test plan:</w:t>
            </w:r>
          </w:p>
          <w:p w14:paraId="7479B69B" w14:textId="77777777" w:rsidR="001954AE" w:rsidRPr="00695123" w:rsidRDefault="001954AE" w:rsidP="00410CB0">
            <w:pPr>
              <w:pStyle w:val="StandardDEEN"/>
              <w:numPr>
                <w:ilvl w:val="0"/>
                <w:numId w:val="6"/>
              </w:numPr>
              <w:spacing w:before="0"/>
              <w:rPr>
                <w:lang w:val="en-GB"/>
              </w:rPr>
            </w:pPr>
            <w:r w:rsidRPr="00695123">
              <w:rPr>
                <w:lang w:val="en-GB"/>
              </w:rPr>
              <w:t>Process approval</w:t>
            </w:r>
          </w:p>
          <w:p w14:paraId="7C5F52E3" w14:textId="77777777" w:rsidR="001954AE" w:rsidRPr="00695123" w:rsidRDefault="001954AE" w:rsidP="0062096D">
            <w:pPr>
              <w:pStyle w:val="StandardDEEN"/>
              <w:spacing w:before="0"/>
              <w:ind w:left="720"/>
              <w:rPr>
                <w:lang w:val="en-GB"/>
              </w:rPr>
            </w:pPr>
            <w:r w:rsidRPr="00695123">
              <w:rPr>
                <w:lang w:val="en-GB"/>
              </w:rPr>
              <w:t>Variable test features:</w:t>
            </w:r>
          </w:p>
          <w:p w14:paraId="6FFBD4F5" w14:textId="77777777" w:rsidR="001954AE" w:rsidRPr="00695123" w:rsidRDefault="001954AE" w:rsidP="0062096D">
            <w:pPr>
              <w:pStyle w:val="StandardDEEN"/>
              <w:spacing w:before="0"/>
              <w:ind w:left="720"/>
              <w:rPr>
                <w:lang w:val="en-GB"/>
              </w:rPr>
            </w:pPr>
            <w:r w:rsidRPr="00695123">
              <w:rPr>
                <w:lang w:val="en-GB"/>
              </w:rPr>
              <w:t xml:space="preserve">Process suitability </w:t>
            </w:r>
            <w:proofErr w:type="gramStart"/>
            <w:r w:rsidRPr="00695123">
              <w:rPr>
                <w:lang w:val="en-GB"/>
              </w:rPr>
              <w:t>indices;</w:t>
            </w:r>
            <w:proofErr w:type="gramEnd"/>
            <w:r w:rsidRPr="00695123">
              <w:rPr>
                <w:lang w:val="en-GB"/>
              </w:rPr>
              <w:t xml:space="preserve"> </w:t>
            </w:r>
          </w:p>
          <w:p w14:paraId="2B25BD02" w14:textId="77777777" w:rsidR="001954AE" w:rsidRPr="00695123" w:rsidRDefault="001954AE" w:rsidP="0062096D">
            <w:pPr>
              <w:pStyle w:val="StandardDEEN"/>
              <w:spacing w:before="0"/>
              <w:ind w:left="720"/>
              <w:rPr>
                <w:lang w:val="en-US"/>
              </w:rPr>
            </w:pPr>
            <w:r w:rsidRPr="00695123">
              <w:rPr>
                <w:lang w:val="en-US"/>
              </w:rPr>
              <w:t xml:space="preserve">cp and </w:t>
            </w:r>
            <w:proofErr w:type="spellStart"/>
            <w:r w:rsidRPr="00695123">
              <w:rPr>
                <w:lang w:val="en-US"/>
              </w:rPr>
              <w:t>cpk</w:t>
            </w:r>
            <w:proofErr w:type="spellEnd"/>
            <w:r w:rsidRPr="00695123">
              <w:rPr>
                <w:lang w:val="en-US"/>
              </w:rPr>
              <w:t xml:space="preserve">, </w:t>
            </w:r>
            <w:proofErr w:type="spellStart"/>
            <w:r w:rsidRPr="00695123">
              <w:rPr>
                <w:lang w:val="en-US"/>
              </w:rPr>
              <w:t>histogrammes</w:t>
            </w:r>
            <w:proofErr w:type="spellEnd"/>
            <w:r w:rsidRPr="00695123">
              <w:rPr>
                <w:lang w:val="en-US"/>
              </w:rPr>
              <w:t>, quality control charts etc.</w:t>
            </w:r>
          </w:p>
          <w:p w14:paraId="61D0AEE5" w14:textId="77777777" w:rsidR="001954AE" w:rsidRPr="00695123" w:rsidRDefault="001954AE" w:rsidP="0062096D">
            <w:pPr>
              <w:pStyle w:val="StandardDEEN"/>
              <w:ind w:left="720"/>
              <w:rPr>
                <w:lang w:val="en-US"/>
              </w:rPr>
            </w:pPr>
            <w:r w:rsidRPr="00695123">
              <w:rPr>
                <w:lang w:val="en-US"/>
              </w:rPr>
              <w:t>Attributive test features:</w:t>
            </w:r>
          </w:p>
          <w:p w14:paraId="1DD277BC" w14:textId="77777777" w:rsidR="001954AE" w:rsidRPr="00695123" w:rsidRDefault="001954AE" w:rsidP="0062096D">
            <w:pPr>
              <w:pStyle w:val="StandardDEEN"/>
              <w:spacing w:before="0"/>
              <w:ind w:left="720"/>
              <w:rPr>
                <w:lang w:val="en-US"/>
              </w:rPr>
            </w:pPr>
            <w:r w:rsidRPr="00695123">
              <w:rPr>
                <w:lang w:val="en-US"/>
              </w:rPr>
              <w:t>Quality test certificates, quality control charts etc.</w:t>
            </w:r>
          </w:p>
          <w:p w14:paraId="2E483A65" w14:textId="77777777" w:rsidR="007B2A23" w:rsidRPr="00695123" w:rsidRDefault="001954AE" w:rsidP="007B2A23">
            <w:pPr>
              <w:pStyle w:val="StandardDEEN"/>
              <w:ind w:left="720"/>
              <w:rPr>
                <w:lang w:val="en-GB"/>
              </w:rPr>
            </w:pPr>
            <w:r w:rsidRPr="00695123">
              <w:rPr>
                <w:lang w:val="en-US"/>
              </w:rPr>
              <w:t>The agreed quality records are to be enclosed with all deliveries up to process approval</w:t>
            </w:r>
            <w:r w:rsidRPr="00695123">
              <w:rPr>
                <w:lang w:val="en-GB"/>
              </w:rPr>
              <w:t>.</w:t>
            </w:r>
          </w:p>
          <w:p w14:paraId="23F4F907" w14:textId="77777777" w:rsidR="007B2A23" w:rsidRPr="00695123" w:rsidRDefault="007B2A23" w:rsidP="007B2A23">
            <w:pPr>
              <w:pStyle w:val="StandardDEEN"/>
              <w:ind w:left="720"/>
              <w:rPr>
                <w:lang w:val="en-US"/>
              </w:rPr>
            </w:pPr>
          </w:p>
          <w:p w14:paraId="08024E33" w14:textId="77777777" w:rsidR="001954AE" w:rsidRPr="00695123" w:rsidRDefault="001954AE" w:rsidP="00410CB0">
            <w:pPr>
              <w:pStyle w:val="StandardDEEN"/>
              <w:numPr>
                <w:ilvl w:val="0"/>
                <w:numId w:val="6"/>
              </w:numPr>
              <w:spacing w:before="0"/>
              <w:rPr>
                <w:lang w:val="en-GB"/>
              </w:rPr>
            </w:pPr>
            <w:r w:rsidRPr="00695123">
              <w:rPr>
                <w:lang w:val="en-GB"/>
              </w:rPr>
              <w:t xml:space="preserve">Quality inspections during ongoing production </w:t>
            </w:r>
          </w:p>
          <w:p w14:paraId="5B7EA709" w14:textId="77777777" w:rsidR="001954AE" w:rsidRPr="00695123" w:rsidRDefault="001954AE" w:rsidP="0062096D">
            <w:pPr>
              <w:pStyle w:val="StandardDEEN"/>
              <w:spacing w:before="0"/>
              <w:ind w:left="720"/>
              <w:rPr>
                <w:lang w:val="en-GB"/>
              </w:rPr>
            </w:pPr>
            <w:r w:rsidRPr="00695123">
              <w:rPr>
                <w:lang w:val="en-GB"/>
              </w:rPr>
              <w:t>Variable test features:</w:t>
            </w:r>
          </w:p>
          <w:p w14:paraId="24DADA10" w14:textId="77777777" w:rsidR="001954AE" w:rsidRPr="00695123" w:rsidRDefault="001954AE" w:rsidP="0062096D">
            <w:pPr>
              <w:pStyle w:val="StandardDEEN"/>
              <w:spacing w:before="0"/>
              <w:ind w:left="720"/>
              <w:rPr>
                <w:lang w:val="en-GB"/>
              </w:rPr>
            </w:pPr>
            <w:proofErr w:type="spellStart"/>
            <w:r w:rsidRPr="00695123">
              <w:rPr>
                <w:lang w:val="en-GB"/>
              </w:rPr>
              <w:t>Histogrammes</w:t>
            </w:r>
            <w:proofErr w:type="spellEnd"/>
            <w:r w:rsidRPr="00695123">
              <w:rPr>
                <w:lang w:val="en-GB"/>
              </w:rPr>
              <w:t>, quality control charts etc.</w:t>
            </w:r>
          </w:p>
          <w:p w14:paraId="7AEC70D3" w14:textId="2305D2A6" w:rsidR="001954AE" w:rsidRPr="00695123" w:rsidRDefault="00D023B7" w:rsidP="0062096D">
            <w:pPr>
              <w:pStyle w:val="StandardDEEN"/>
              <w:ind w:left="720"/>
              <w:rPr>
                <w:lang w:val="en-GB"/>
              </w:rPr>
            </w:pPr>
            <w:r w:rsidRPr="00695123">
              <w:rPr>
                <w:lang w:val="en-GB"/>
              </w:rPr>
              <w:br/>
            </w:r>
            <w:r w:rsidR="001954AE" w:rsidRPr="00695123">
              <w:rPr>
                <w:lang w:val="en-GB"/>
              </w:rPr>
              <w:t>Attributive test features:</w:t>
            </w:r>
          </w:p>
          <w:p w14:paraId="5BB146C3" w14:textId="77777777" w:rsidR="001954AE" w:rsidRPr="00695123" w:rsidRDefault="001954AE" w:rsidP="0062096D">
            <w:pPr>
              <w:pStyle w:val="StandardDEEN"/>
              <w:spacing w:before="0"/>
              <w:ind w:left="720"/>
              <w:rPr>
                <w:lang w:val="en-US"/>
              </w:rPr>
            </w:pPr>
            <w:r w:rsidRPr="00695123">
              <w:rPr>
                <w:lang w:val="en-US"/>
              </w:rPr>
              <w:t>Quality test certificate, quality control charts etc.</w:t>
            </w:r>
          </w:p>
          <w:p w14:paraId="3AF48746" w14:textId="77777777" w:rsidR="001954AE" w:rsidRPr="00695123" w:rsidRDefault="001954AE" w:rsidP="00410CB0">
            <w:pPr>
              <w:pStyle w:val="StandardDEEN"/>
              <w:numPr>
                <w:ilvl w:val="0"/>
                <w:numId w:val="6"/>
              </w:numPr>
            </w:pPr>
            <w:proofErr w:type="spellStart"/>
            <w:r w:rsidRPr="00695123">
              <w:t>Requalification</w:t>
            </w:r>
            <w:proofErr w:type="spellEnd"/>
            <w:r w:rsidRPr="00695123">
              <w:t xml:space="preserve"> </w:t>
            </w:r>
          </w:p>
          <w:p w14:paraId="51F65980" w14:textId="77777777" w:rsidR="001954AE" w:rsidRPr="00695123" w:rsidRDefault="001954AE" w:rsidP="0062096D">
            <w:pPr>
              <w:pStyle w:val="StandardDEEN"/>
              <w:spacing w:before="0"/>
              <w:ind w:left="720"/>
              <w:rPr>
                <w:lang w:val="en-US"/>
              </w:rPr>
            </w:pPr>
            <w:r w:rsidRPr="00695123">
              <w:rPr>
                <w:lang w:val="en-US"/>
              </w:rPr>
              <w:t>Proof of the requalification conducted and results.</w:t>
            </w:r>
          </w:p>
          <w:p w14:paraId="72D471DE" w14:textId="77777777" w:rsidR="001954AE" w:rsidRPr="00695123" w:rsidRDefault="001954AE" w:rsidP="0062096D">
            <w:pPr>
              <w:pStyle w:val="StandardDEEN"/>
              <w:rPr>
                <w:lang w:val="en-GB"/>
              </w:rPr>
            </w:pPr>
            <w:r w:rsidRPr="00695123">
              <w:rPr>
                <w:lang w:val="en-US"/>
              </w:rPr>
              <w:t>Test records from ongoing production are to be attached to the series deliveries depending on agreement</w:t>
            </w:r>
            <w:r w:rsidRPr="00695123">
              <w:rPr>
                <w:lang w:val="en-GB"/>
              </w:rPr>
              <w:t>.</w:t>
            </w:r>
          </w:p>
          <w:p w14:paraId="5B2140D7" w14:textId="77777777" w:rsidR="001954AE" w:rsidRPr="00695123" w:rsidRDefault="001954AE" w:rsidP="0062096D">
            <w:pPr>
              <w:pStyle w:val="StandardDEEN"/>
              <w:rPr>
                <w:lang w:val="en-US"/>
              </w:rPr>
            </w:pPr>
            <w:r w:rsidRPr="00695123">
              <w:rPr>
                <w:lang w:val="en-US"/>
              </w:rPr>
              <w:t xml:space="preserve">The Supplier shall keep </w:t>
            </w:r>
            <w:r w:rsidR="007B2A23" w:rsidRPr="00695123">
              <w:rPr>
                <w:lang w:val="en-US"/>
              </w:rPr>
              <w:t xml:space="preserve">all documentation for </w:t>
            </w:r>
            <w:proofErr w:type="gramStart"/>
            <w:r w:rsidR="007B2A23" w:rsidRPr="00695123">
              <w:rPr>
                <w:lang w:val="en-US"/>
              </w:rPr>
              <w:t>a period of time</w:t>
            </w:r>
            <w:proofErr w:type="gramEnd"/>
            <w:r w:rsidR="007B2A23" w:rsidRPr="00695123">
              <w:rPr>
                <w:lang w:val="en-US"/>
              </w:rPr>
              <w:t xml:space="preserve"> according to the classification system of VDA Volume 1 "Documented Information and Storage</w:t>
            </w:r>
            <w:r w:rsidR="00C75711" w:rsidRPr="00695123">
              <w:rPr>
                <w:lang w:val="en-US"/>
              </w:rPr>
              <w:t xml:space="preserve">”, at least however for a period of 15 years following the creation of the specific documentation. </w:t>
            </w:r>
          </w:p>
          <w:p w14:paraId="25C1673A" w14:textId="3DF46412" w:rsidR="007B2A23" w:rsidRPr="00695123" w:rsidRDefault="007B2A23" w:rsidP="0062096D">
            <w:pPr>
              <w:pStyle w:val="StandardDEEN"/>
              <w:rPr>
                <w:strike/>
                <w:lang w:val="en-US"/>
              </w:rPr>
            </w:pPr>
            <w:r w:rsidRPr="00695123">
              <w:rPr>
                <w:lang w:val="en-US"/>
              </w:rPr>
              <w:t>For example, retention periods of 30 years from the event (date of creation) apply to documents relating to the ongoing production process such as test and measurement results</w:t>
            </w:r>
            <w:r w:rsidR="006270CD" w:rsidRPr="00695123">
              <w:rPr>
                <w:lang w:val="en-US"/>
              </w:rPr>
              <w:t>. Customer-specific requirements are passed on by Kayser. Example GM 50 years</w:t>
            </w:r>
          </w:p>
          <w:p w14:paraId="07A1DDDC" w14:textId="77777777" w:rsidR="001954AE" w:rsidRPr="00695123" w:rsidRDefault="001954AE" w:rsidP="0062096D">
            <w:pPr>
              <w:pStyle w:val="StandardDEEN"/>
              <w:rPr>
                <w:lang w:val="en-US"/>
              </w:rPr>
            </w:pPr>
            <w:r w:rsidRPr="00695123">
              <w:rPr>
                <w:lang w:val="en-US"/>
              </w:rPr>
              <w:t>The</w:t>
            </w:r>
            <w:r w:rsidR="0078195B" w:rsidRPr="00695123">
              <w:rPr>
                <w:lang w:val="en-US"/>
              </w:rPr>
              <w:t xml:space="preserve"> definition and marking of critical</w:t>
            </w:r>
            <w:r w:rsidRPr="00695123">
              <w:rPr>
                <w:lang w:val="en-US"/>
              </w:rPr>
              <w:t xml:space="preserve"> features and documents are identified and selected </w:t>
            </w:r>
            <w:proofErr w:type="gramStart"/>
            <w:r w:rsidRPr="00695123">
              <w:rPr>
                <w:lang w:val="en-US"/>
              </w:rPr>
              <w:t>on the basis of</w:t>
            </w:r>
            <w:proofErr w:type="gramEnd"/>
            <w:r w:rsidR="0078195B" w:rsidRPr="00695123">
              <w:rPr>
                <w:lang w:val="en-US"/>
              </w:rPr>
              <w:t xml:space="preserve"> the current applicable laws,</w:t>
            </w:r>
            <w:r w:rsidRPr="00695123">
              <w:rPr>
                <w:lang w:val="en-US"/>
              </w:rPr>
              <w:t xml:space="preserve"> the drawing, the co-applicable sta</w:t>
            </w:r>
            <w:r w:rsidR="0078195B" w:rsidRPr="00695123">
              <w:rPr>
                <w:lang w:val="en-US"/>
              </w:rPr>
              <w:t xml:space="preserve">ndards or specifications, order, </w:t>
            </w:r>
            <w:r w:rsidRPr="00695123">
              <w:rPr>
                <w:lang w:val="en-US"/>
              </w:rPr>
              <w:t>the VDA Volume 1</w:t>
            </w:r>
            <w:r w:rsidR="0078195B" w:rsidRPr="00695123">
              <w:rPr>
                <w:lang w:val="en-US"/>
              </w:rPr>
              <w:t xml:space="preserve"> and VDA </w:t>
            </w:r>
            <w:r w:rsidR="00C75711" w:rsidRPr="00695123">
              <w:rPr>
                <w:lang w:val="en-US"/>
              </w:rPr>
              <w:t>Vol.</w:t>
            </w:r>
            <w:r w:rsidR="0078195B" w:rsidRPr="00695123">
              <w:rPr>
                <w:lang w:val="en-US"/>
              </w:rPr>
              <w:t xml:space="preserve"> “Product Creation, a process </w:t>
            </w:r>
            <w:proofErr w:type="spellStart"/>
            <w:r w:rsidR="0078195B" w:rsidRPr="00695123">
              <w:rPr>
                <w:lang w:val="en-US"/>
              </w:rPr>
              <w:t>discription</w:t>
            </w:r>
            <w:proofErr w:type="spellEnd"/>
            <w:r w:rsidR="0078195B" w:rsidRPr="00695123">
              <w:rPr>
                <w:lang w:val="en-US"/>
              </w:rPr>
              <w:t xml:space="preserve"> covering special </w:t>
            </w:r>
            <w:proofErr w:type="spellStart"/>
            <w:r w:rsidR="0078195B" w:rsidRPr="00695123">
              <w:rPr>
                <w:lang w:val="en-US"/>
              </w:rPr>
              <w:t>characteriustics</w:t>
            </w:r>
            <w:proofErr w:type="spellEnd"/>
            <w:r w:rsidR="0078195B" w:rsidRPr="00695123">
              <w:rPr>
                <w:lang w:val="en-US"/>
              </w:rPr>
              <w:t>”</w:t>
            </w:r>
            <w:r w:rsidRPr="00695123">
              <w:rPr>
                <w:lang w:val="en-GB"/>
              </w:rPr>
              <w:t>.</w:t>
            </w:r>
          </w:p>
          <w:p w14:paraId="2617DEEA" w14:textId="77777777" w:rsidR="00B66316" w:rsidRPr="00695123" w:rsidRDefault="001954AE" w:rsidP="0062096D">
            <w:pPr>
              <w:pStyle w:val="StandardDEEN"/>
              <w:rPr>
                <w:lang w:val="en-GB"/>
              </w:rPr>
            </w:pPr>
            <w:r w:rsidRPr="00695123">
              <w:rPr>
                <w:lang w:val="en-GB"/>
              </w:rPr>
              <w:t>The test results must be provided to KAYSER on request.</w:t>
            </w:r>
          </w:p>
        </w:tc>
      </w:tr>
      <w:tr w:rsidR="00695123" w:rsidRPr="00695123" w14:paraId="762490DF" w14:textId="77777777" w:rsidTr="00AD39CE">
        <w:tc>
          <w:tcPr>
            <w:tcW w:w="4988" w:type="dxa"/>
            <w:tcBorders>
              <w:top w:val="nil"/>
              <w:left w:val="nil"/>
              <w:bottom w:val="nil"/>
              <w:right w:val="nil"/>
            </w:tcBorders>
          </w:tcPr>
          <w:p w14:paraId="3F70C379" w14:textId="609B0FE7" w:rsidR="0057796A" w:rsidRPr="00695123" w:rsidRDefault="0057796A" w:rsidP="00915912">
            <w:pPr>
              <w:pStyle w:val="berschrift1"/>
              <w:numPr>
                <w:ilvl w:val="0"/>
                <w:numId w:val="0"/>
              </w:numPr>
              <w:ind w:left="357" w:hanging="357"/>
            </w:pPr>
            <w:bookmarkStart w:id="43" w:name="_Toc475973878"/>
            <w:bookmarkStart w:id="44" w:name="_Toc492627350"/>
            <w:bookmarkStart w:id="45" w:name="_Toc492643825"/>
            <w:r w:rsidRPr="00695123">
              <w:t>§</w:t>
            </w:r>
            <w:bookmarkEnd w:id="43"/>
            <w:r w:rsidRPr="00695123">
              <w:t xml:space="preserve"> 1</w:t>
            </w:r>
            <w:r w:rsidR="00C80337" w:rsidRPr="00695123">
              <w:t>8</w:t>
            </w:r>
            <w:r w:rsidRPr="00695123">
              <w:t>. Null-Fehler-Strategie</w:t>
            </w:r>
            <w:bookmarkEnd w:id="44"/>
            <w:bookmarkEnd w:id="45"/>
          </w:p>
          <w:p w14:paraId="6407D4E4" w14:textId="73B8580B" w:rsidR="0057796A" w:rsidRPr="00695123" w:rsidRDefault="0057796A" w:rsidP="00915912">
            <w:pPr>
              <w:pStyle w:val="StandardDEEN"/>
            </w:pPr>
            <w:r w:rsidRPr="00695123">
              <w:t>Im Rahmen des Qualitätsmanagements ist der Lieferant dem Null-Fehler-Ziel</w:t>
            </w:r>
            <w:r w:rsidR="00CD44ED" w:rsidRPr="00695123">
              <w:t xml:space="preserve"> und der 100% </w:t>
            </w:r>
            <w:proofErr w:type="spellStart"/>
            <w:r w:rsidR="00CD44ED" w:rsidRPr="00695123">
              <w:t>Liefer</w:t>
            </w:r>
            <w:proofErr w:type="spellEnd"/>
            <w:r w:rsidR="00CD44ED" w:rsidRPr="00695123">
              <w:t xml:space="preserve"> – und Menge</w:t>
            </w:r>
            <w:r w:rsidR="00EF514E" w:rsidRPr="00695123">
              <w:t>n</w:t>
            </w:r>
            <w:r w:rsidR="00CD44ED" w:rsidRPr="00695123">
              <w:t xml:space="preserve">treue </w:t>
            </w:r>
            <w:r w:rsidRPr="00695123">
              <w:t xml:space="preserve">verpflichtet. Erforderlichenfalls vereinbart </w:t>
            </w:r>
            <w:r w:rsidRPr="00695123">
              <w:rPr>
                <w:rFonts w:cs="HelveticaNeue-Light"/>
                <w:szCs w:val="24"/>
              </w:rPr>
              <w:t>KAYSER</w:t>
            </w:r>
            <w:r w:rsidRPr="00695123">
              <w:t xml:space="preserve"> mit dem Lieferanten, in welchem Zeitraum und über welche </w:t>
            </w:r>
            <w:r w:rsidR="00C75711" w:rsidRPr="00695123">
              <w:t>Meilensteine</w:t>
            </w:r>
            <w:r w:rsidRPr="00695123">
              <w:t xml:space="preserve"> </w:t>
            </w:r>
            <w:r w:rsidR="00CD44ED" w:rsidRPr="00695123">
              <w:t xml:space="preserve">die Ziele </w:t>
            </w:r>
            <w:r w:rsidRPr="00695123">
              <w:t>erreicht werden</w:t>
            </w:r>
            <w:r w:rsidR="00CD44ED" w:rsidRPr="00695123">
              <w:t xml:space="preserve"> müssen</w:t>
            </w:r>
            <w:r w:rsidRPr="00695123">
              <w:t xml:space="preserve">. Der Lieferant wird </w:t>
            </w:r>
            <w:r w:rsidRPr="00695123">
              <w:rPr>
                <w:rFonts w:cs="HelveticaNeue-Light"/>
                <w:szCs w:val="24"/>
              </w:rPr>
              <w:t>KAYSER</w:t>
            </w:r>
            <w:r w:rsidRPr="00695123">
              <w:t xml:space="preserve"> unverzüglich unterrichten, sobald nachteilige Abweichungen vom vereinbarten Zielkorridor absehbar werden.</w:t>
            </w:r>
          </w:p>
          <w:p w14:paraId="25F0BE14" w14:textId="77777777" w:rsidR="00A7142F" w:rsidRPr="00695123" w:rsidRDefault="00A7142F" w:rsidP="00A7142F">
            <w:pPr>
              <w:pStyle w:val="StandardDEEN"/>
            </w:pPr>
            <w:r w:rsidRPr="00695123">
              <w:t>Um dieses Null-Fehler-Ziel zu erreichen, sind eine konsequente Qualitätsvorausplanung, die Umsetzung in der Fertigung, eine effektive Serienüberwachung, Requalifizierung und ein kontinuierlicher Verbesserungsprozess unabdingbar. Der Schwerpunkt liegt hierbei auf der Fehlervermeidung, statt auf der Fehlererkennung. Der Lieferant wird die Vertragsgegenstände nach den Regeln des Qualitätsmanagements herstellen und beachtet bei der Herstellung und Prüfung den aktuellen Stand von Wissenschaft und Technik.</w:t>
            </w:r>
          </w:p>
          <w:p w14:paraId="49996061" w14:textId="51CF9661" w:rsidR="00A7142F" w:rsidRPr="00695123" w:rsidRDefault="00A7142F" w:rsidP="00915912">
            <w:pPr>
              <w:pStyle w:val="StandardDEEN"/>
            </w:pPr>
            <w:r w:rsidRPr="00695123">
              <w:t>Null-Fehler bedeutet, ohne Einschränkung: keine Störfälle, keine Reklamationen und keine fehlerhaften Produkte. Dies wird in unserer Lieferantenbewertung berücksichtigt.</w:t>
            </w:r>
          </w:p>
          <w:p w14:paraId="1B7F2A2A" w14:textId="77777777" w:rsidR="0057796A" w:rsidRPr="00695123" w:rsidRDefault="0057796A" w:rsidP="00915912">
            <w:pPr>
              <w:pStyle w:val="StandardDEEN"/>
              <w:rPr>
                <w:szCs w:val="24"/>
              </w:rPr>
            </w:pPr>
            <w:r w:rsidRPr="00695123">
              <w:rPr>
                <w:szCs w:val="24"/>
              </w:rPr>
              <w:t xml:space="preserve">Die Vereinbarung von ppm- Werten im Rahmen des Zielkorridors </w:t>
            </w:r>
            <w:r w:rsidRPr="00695123">
              <w:rPr>
                <w:rFonts w:cs="HelveticaNeue-Bold"/>
                <w:bCs/>
                <w:szCs w:val="24"/>
              </w:rPr>
              <w:t xml:space="preserve">bedeutet dabei kein von KAYSER akzeptiertes Qualitätsniveau und </w:t>
            </w:r>
            <w:r w:rsidRPr="00695123">
              <w:rPr>
                <w:szCs w:val="24"/>
              </w:rPr>
              <w:t>berührt nicht die Haftung des Lieferanten für Gewährleistungs- und Schadensersatzansprüche von KAYSER wegen Mängeln der Lieferungen. Vielmehr haftet der Lieferant aufgrund der vertraglichen</w:t>
            </w:r>
            <w:r w:rsidR="00C75711" w:rsidRPr="00695123">
              <w:rPr>
                <w:szCs w:val="24"/>
              </w:rPr>
              <w:t xml:space="preserve"> und gesetzlichen</w:t>
            </w:r>
            <w:r w:rsidRPr="00695123">
              <w:rPr>
                <w:szCs w:val="24"/>
              </w:rPr>
              <w:t xml:space="preserve"> Bestimmungen auch dann für etwaige Mängel, wenn die Fehlerhäufigkeit im Rahmen des vereinbarten Zielkorridors liegt.</w:t>
            </w:r>
          </w:p>
          <w:p w14:paraId="78813FFB" w14:textId="77777777" w:rsidR="0057796A" w:rsidRPr="00695123" w:rsidRDefault="0057796A" w:rsidP="00915912">
            <w:pPr>
              <w:pStyle w:val="StandardDEEN"/>
              <w:rPr>
                <w:rFonts w:cs="HelveticaNeue-Light"/>
                <w:szCs w:val="24"/>
              </w:rPr>
            </w:pPr>
            <w:r w:rsidRPr="00695123">
              <w:rPr>
                <w:rFonts w:cs="HelveticaNeue-Light"/>
                <w:szCs w:val="24"/>
              </w:rPr>
              <w:t>Die Fehlermengen berechnen sich unter folgenden Randbedingungen:</w:t>
            </w:r>
          </w:p>
          <w:p w14:paraId="11807F44" w14:textId="77777777" w:rsidR="0057796A" w:rsidRPr="00695123" w:rsidRDefault="0057796A" w:rsidP="00410CB0">
            <w:pPr>
              <w:pStyle w:val="StandardDEEN"/>
              <w:numPr>
                <w:ilvl w:val="0"/>
                <w:numId w:val="6"/>
              </w:numPr>
              <w:spacing w:before="0"/>
              <w:rPr>
                <w:rFonts w:cs="HelveticaNeue-Light"/>
                <w:szCs w:val="24"/>
              </w:rPr>
            </w:pPr>
            <w:r w:rsidRPr="00695123">
              <w:rPr>
                <w:rFonts w:cs="HelveticaNeue-Light"/>
                <w:szCs w:val="24"/>
              </w:rPr>
              <w:t>Erfasst werden reklamierte Teile aus Wareneingang, Fertigung und Kundenreklamationen.</w:t>
            </w:r>
          </w:p>
          <w:p w14:paraId="099F0995" w14:textId="77777777" w:rsidR="0057796A" w:rsidRPr="00695123" w:rsidRDefault="0057796A" w:rsidP="00410CB0">
            <w:pPr>
              <w:pStyle w:val="StandardDEEN"/>
              <w:numPr>
                <w:ilvl w:val="0"/>
                <w:numId w:val="6"/>
              </w:numPr>
              <w:spacing w:before="0"/>
              <w:rPr>
                <w:rFonts w:cs="HelveticaNeue-Light"/>
                <w:szCs w:val="24"/>
              </w:rPr>
            </w:pPr>
            <w:r w:rsidRPr="00695123">
              <w:rPr>
                <w:rFonts w:cs="HelveticaNeue-Light"/>
                <w:szCs w:val="24"/>
              </w:rPr>
              <w:t>Bittet der Lieferant vor Verarbeitung der Ware um Rücksendung (wegen von ihm erkannter Fehler), so gehen die Fehler nicht in die ppm-Statistik ein (Fehlermenge Fremd = 0).</w:t>
            </w:r>
          </w:p>
          <w:p w14:paraId="353F3D3F" w14:textId="77777777" w:rsidR="00AB30AD" w:rsidRPr="00695123" w:rsidRDefault="00AB30AD" w:rsidP="00AB30AD">
            <w:pPr>
              <w:pStyle w:val="StandardDEEN"/>
              <w:spacing w:before="0"/>
              <w:rPr>
                <w:rFonts w:cs="HelveticaNeue-Light"/>
                <w:szCs w:val="24"/>
              </w:rPr>
            </w:pPr>
          </w:p>
          <w:p w14:paraId="561D627E" w14:textId="77777777" w:rsidR="0057796A" w:rsidRPr="00695123" w:rsidRDefault="0057796A" w:rsidP="00410CB0">
            <w:pPr>
              <w:pStyle w:val="StandardDEEN"/>
              <w:numPr>
                <w:ilvl w:val="0"/>
                <w:numId w:val="6"/>
              </w:numPr>
              <w:spacing w:before="0"/>
              <w:rPr>
                <w:rFonts w:cs="HelveticaNeue-Light"/>
                <w:szCs w:val="24"/>
              </w:rPr>
            </w:pPr>
            <w:r w:rsidRPr="00695123">
              <w:rPr>
                <w:rFonts w:cs="HelveticaNeue-Light"/>
                <w:szCs w:val="24"/>
              </w:rPr>
              <w:t xml:space="preserve">Sortiert der Lieferant oder KAYSER, so gehen die </w:t>
            </w:r>
            <w:proofErr w:type="spellStart"/>
            <w:r w:rsidRPr="00695123">
              <w:rPr>
                <w:rFonts w:cs="HelveticaNeue-Light"/>
                <w:szCs w:val="24"/>
              </w:rPr>
              <w:t>n.i.O</w:t>
            </w:r>
            <w:proofErr w:type="spellEnd"/>
            <w:r w:rsidRPr="00695123">
              <w:rPr>
                <w:rFonts w:cs="HelveticaNeue-Light"/>
                <w:szCs w:val="24"/>
              </w:rPr>
              <w:t>.-Teile in die ppm-Berechnung ein.</w:t>
            </w:r>
          </w:p>
          <w:p w14:paraId="405855FD" w14:textId="77777777" w:rsidR="00AB30AD" w:rsidRPr="00695123" w:rsidRDefault="00AB30AD" w:rsidP="00AB30AD">
            <w:pPr>
              <w:pStyle w:val="StandardDEEN"/>
              <w:spacing w:before="0"/>
              <w:rPr>
                <w:rFonts w:cs="HelveticaNeue-Light"/>
                <w:szCs w:val="24"/>
              </w:rPr>
            </w:pPr>
          </w:p>
          <w:p w14:paraId="17E79910" w14:textId="77777777" w:rsidR="0057796A" w:rsidRPr="00695123" w:rsidRDefault="0057796A" w:rsidP="00915912">
            <w:pPr>
              <w:pStyle w:val="StandardDEEN"/>
              <w:rPr>
                <w:rFonts w:cs="HelveticaNeue-Light"/>
                <w:szCs w:val="24"/>
              </w:rPr>
            </w:pPr>
            <w:r w:rsidRPr="00695123">
              <w:rPr>
                <w:rFonts w:cs="HelveticaNeue-Light"/>
                <w:szCs w:val="24"/>
              </w:rPr>
              <w:t>Sortieren kann dabei bedeuten:</w:t>
            </w:r>
          </w:p>
          <w:p w14:paraId="2AE7BF99" w14:textId="77777777" w:rsidR="0057796A" w:rsidRPr="00695123" w:rsidRDefault="0057796A" w:rsidP="00410CB0">
            <w:pPr>
              <w:pStyle w:val="StandardDEEN"/>
              <w:numPr>
                <w:ilvl w:val="0"/>
                <w:numId w:val="7"/>
              </w:numPr>
              <w:spacing w:before="0"/>
              <w:rPr>
                <w:rFonts w:cs="HelveticaNeue-Light"/>
                <w:szCs w:val="24"/>
              </w:rPr>
            </w:pPr>
            <w:r w:rsidRPr="00695123">
              <w:rPr>
                <w:rFonts w:cs="HelveticaNeue-Light"/>
                <w:szCs w:val="24"/>
              </w:rPr>
              <w:t>Eine Sortierung bei KAYSER durch KAYSER, durch Lieferanten oder durch externe Nacharbeitsfirmen.</w:t>
            </w:r>
          </w:p>
          <w:p w14:paraId="17AE20AF" w14:textId="77777777" w:rsidR="0057796A" w:rsidRPr="00695123" w:rsidRDefault="0057796A" w:rsidP="00410CB0">
            <w:pPr>
              <w:pStyle w:val="StandardDEEN"/>
              <w:numPr>
                <w:ilvl w:val="0"/>
                <w:numId w:val="7"/>
              </w:numPr>
              <w:spacing w:before="0"/>
              <w:rPr>
                <w:rFonts w:cs="HelveticaNeue-Light"/>
                <w:szCs w:val="24"/>
              </w:rPr>
            </w:pPr>
            <w:r w:rsidRPr="00695123">
              <w:rPr>
                <w:rFonts w:cs="HelveticaNeue-Light"/>
                <w:szCs w:val="24"/>
              </w:rPr>
              <w:t>Verarbeitung in der Fertigung mit Feststellung der fehlerhaften Teile.</w:t>
            </w:r>
          </w:p>
          <w:p w14:paraId="0E2893B9" w14:textId="77777777" w:rsidR="00B66316" w:rsidRPr="00695123" w:rsidRDefault="0057796A" w:rsidP="00410CB0">
            <w:pPr>
              <w:pStyle w:val="StandardDEEN"/>
              <w:numPr>
                <w:ilvl w:val="0"/>
                <w:numId w:val="7"/>
              </w:numPr>
              <w:spacing w:before="0"/>
              <w:rPr>
                <w:szCs w:val="24"/>
              </w:rPr>
            </w:pPr>
            <w:r w:rsidRPr="00695123">
              <w:rPr>
                <w:rFonts w:cs="HelveticaNeue-Light"/>
                <w:szCs w:val="24"/>
              </w:rPr>
              <w:t xml:space="preserve">Beim Lieferanten mit Meldung der tatsächlich fehlerhaften Teile. In diesem Fall hat KAYSER Kaufteile den Ermessensspielraum, die tatsächlich vom Lieferanten gemeldete </w:t>
            </w:r>
            <w:proofErr w:type="spellStart"/>
            <w:r w:rsidRPr="00695123">
              <w:rPr>
                <w:rFonts w:cs="HelveticaNeue-Light"/>
                <w:szCs w:val="24"/>
              </w:rPr>
              <w:t>n.i.O</w:t>
            </w:r>
            <w:proofErr w:type="spellEnd"/>
            <w:r w:rsidRPr="00695123">
              <w:rPr>
                <w:rFonts w:cs="HelveticaNeue-Light"/>
                <w:szCs w:val="24"/>
              </w:rPr>
              <w:t xml:space="preserve">.-Menge oder 100% der rückgelieferten Ware/ Menge als </w:t>
            </w:r>
            <w:proofErr w:type="spellStart"/>
            <w:r w:rsidRPr="00695123">
              <w:rPr>
                <w:rFonts w:cs="HelveticaNeue-Light"/>
                <w:szCs w:val="24"/>
              </w:rPr>
              <w:t>n.i.O</w:t>
            </w:r>
            <w:proofErr w:type="spellEnd"/>
            <w:r w:rsidRPr="00695123">
              <w:rPr>
                <w:rFonts w:cs="HelveticaNeue-Light"/>
                <w:szCs w:val="24"/>
              </w:rPr>
              <w:t>. in das System einzustellen.</w:t>
            </w:r>
          </w:p>
        </w:tc>
        <w:tc>
          <w:tcPr>
            <w:tcW w:w="4934" w:type="dxa"/>
            <w:tcBorders>
              <w:top w:val="nil"/>
              <w:left w:val="nil"/>
              <w:bottom w:val="nil"/>
              <w:right w:val="nil"/>
            </w:tcBorders>
          </w:tcPr>
          <w:p w14:paraId="45B7D1E2" w14:textId="0DE94EE0" w:rsidR="001954AE" w:rsidRPr="00695123" w:rsidRDefault="001954AE" w:rsidP="00AB30AD">
            <w:pPr>
              <w:pStyle w:val="berschriftEN1"/>
              <w:numPr>
                <w:ilvl w:val="0"/>
                <w:numId w:val="0"/>
              </w:numPr>
              <w:rPr>
                <w:lang w:val="en-US"/>
              </w:rPr>
            </w:pPr>
            <w:bookmarkStart w:id="46" w:name="_Toc492550471"/>
            <w:bookmarkStart w:id="47" w:name="_Toc492643826"/>
            <w:r w:rsidRPr="00695123">
              <w:rPr>
                <w:lang w:val="en-US"/>
              </w:rPr>
              <w:t>§ 1</w:t>
            </w:r>
            <w:r w:rsidR="00C80337" w:rsidRPr="00695123">
              <w:rPr>
                <w:lang w:val="en-US"/>
              </w:rPr>
              <w:t>8</w:t>
            </w:r>
            <w:r w:rsidRPr="00695123">
              <w:rPr>
                <w:lang w:val="en-US"/>
              </w:rPr>
              <w:t>. Zero defect strategy</w:t>
            </w:r>
            <w:bookmarkEnd w:id="46"/>
            <w:bookmarkEnd w:id="47"/>
            <w:r w:rsidRPr="00695123">
              <w:rPr>
                <w:lang w:val="en-US"/>
              </w:rPr>
              <w:t xml:space="preserve"> </w:t>
            </w:r>
          </w:p>
          <w:p w14:paraId="37FBB55A" w14:textId="77777777" w:rsidR="001954AE" w:rsidRPr="00695123" w:rsidRDefault="001954AE" w:rsidP="0062096D">
            <w:pPr>
              <w:pStyle w:val="StandardDEEN"/>
              <w:rPr>
                <w:lang w:val="en-GB"/>
              </w:rPr>
            </w:pPr>
            <w:r w:rsidRPr="00695123">
              <w:rPr>
                <w:lang w:val="en-GB"/>
              </w:rPr>
              <w:t xml:space="preserve">The Supplier is committed to the zero-defect target </w:t>
            </w:r>
            <w:r w:rsidR="00534B37" w:rsidRPr="00695123">
              <w:rPr>
                <w:lang w:val="en-GB"/>
              </w:rPr>
              <w:t xml:space="preserve">and the 100 % Target for the delivery and </w:t>
            </w:r>
            <w:proofErr w:type="spellStart"/>
            <w:r w:rsidR="00534B37" w:rsidRPr="00695123">
              <w:rPr>
                <w:lang w:val="en-GB"/>
              </w:rPr>
              <w:t>Qualtity</w:t>
            </w:r>
            <w:proofErr w:type="spellEnd"/>
            <w:r w:rsidR="00534B37" w:rsidRPr="00695123">
              <w:rPr>
                <w:lang w:val="en-GB"/>
              </w:rPr>
              <w:t xml:space="preserve"> Performance</w:t>
            </w:r>
            <w:r w:rsidR="00E16F19" w:rsidRPr="00695123">
              <w:rPr>
                <w:lang w:val="en-GB"/>
              </w:rPr>
              <w:t xml:space="preserve"> </w:t>
            </w:r>
            <w:r w:rsidRPr="00695123">
              <w:rPr>
                <w:lang w:val="en-GB"/>
              </w:rPr>
              <w:t xml:space="preserve">as part of quality management. Where necessary, </w:t>
            </w:r>
            <w:r w:rsidRPr="00695123">
              <w:rPr>
                <w:rFonts w:cs="HelveticaNeue-Light"/>
                <w:szCs w:val="24"/>
                <w:lang w:val="en-GB"/>
              </w:rPr>
              <w:t>KAYSER</w:t>
            </w:r>
            <w:r w:rsidRPr="00695123">
              <w:rPr>
                <w:lang w:val="en-GB"/>
              </w:rPr>
              <w:t xml:space="preserve"> shall agree with the Supplier the period and the milestones within which the target</w:t>
            </w:r>
            <w:r w:rsidR="00E16F19" w:rsidRPr="00695123">
              <w:rPr>
                <w:lang w:val="en-GB"/>
              </w:rPr>
              <w:t>s</w:t>
            </w:r>
            <w:r w:rsidRPr="00695123">
              <w:rPr>
                <w:lang w:val="en-GB"/>
              </w:rPr>
              <w:t xml:space="preserve"> must be achieved. The Supplier shall notify </w:t>
            </w:r>
            <w:r w:rsidRPr="00695123">
              <w:rPr>
                <w:rFonts w:cs="HelveticaNeue-Light"/>
                <w:szCs w:val="24"/>
                <w:lang w:val="en-GB"/>
              </w:rPr>
              <w:t>KAYSER</w:t>
            </w:r>
            <w:r w:rsidRPr="00695123">
              <w:rPr>
                <w:lang w:val="en-GB"/>
              </w:rPr>
              <w:t xml:space="preserve"> immediately as soon as disadvantageous deviations from the agreed time corridor are foreseeable.</w:t>
            </w:r>
          </w:p>
          <w:p w14:paraId="1695265C" w14:textId="316EDE75" w:rsidR="00F5225C" w:rsidRPr="00695123" w:rsidRDefault="00D023B7" w:rsidP="00F5225C">
            <w:pPr>
              <w:pStyle w:val="StandardDEEN"/>
              <w:rPr>
                <w:lang w:val="en-GB"/>
              </w:rPr>
            </w:pPr>
            <w:r w:rsidRPr="00695123">
              <w:rPr>
                <w:lang w:val="en-GB"/>
              </w:rPr>
              <w:br/>
            </w:r>
            <w:proofErr w:type="gramStart"/>
            <w:r w:rsidR="00F5225C" w:rsidRPr="00695123">
              <w:rPr>
                <w:lang w:val="en-GB"/>
              </w:rPr>
              <w:t>In order to</w:t>
            </w:r>
            <w:proofErr w:type="gramEnd"/>
            <w:r w:rsidR="00F5225C" w:rsidRPr="00695123">
              <w:rPr>
                <w:lang w:val="en-GB"/>
              </w:rPr>
              <w:t xml:space="preserve"> achieve this zero-defect target, consistent advance quality planning, implementation in production, effective series monitoring, requalification and a continuous improvement process are essential. The focus here is on error prevention rather than error detection. The supplier shall manufacture the contractual items in accordance with the rules of quality management and shall observe the current state of the art in science and technology during manufacture and testing.</w:t>
            </w:r>
          </w:p>
          <w:p w14:paraId="04BEC746" w14:textId="0558F22B" w:rsidR="00F5225C" w:rsidRPr="00695123" w:rsidRDefault="00D023B7" w:rsidP="00F5225C">
            <w:pPr>
              <w:pStyle w:val="StandardDEEN"/>
              <w:rPr>
                <w:lang w:val="en-GB"/>
              </w:rPr>
            </w:pPr>
            <w:r w:rsidRPr="00695123">
              <w:rPr>
                <w:lang w:val="en-GB"/>
              </w:rPr>
              <w:br/>
            </w:r>
            <w:r w:rsidR="00F5225C" w:rsidRPr="00695123">
              <w:rPr>
                <w:lang w:val="en-GB"/>
              </w:rPr>
              <w:t xml:space="preserve">Zero defects </w:t>
            </w:r>
            <w:proofErr w:type="gramStart"/>
            <w:r w:rsidR="00F5225C" w:rsidRPr="00695123">
              <w:rPr>
                <w:lang w:val="en-GB"/>
              </w:rPr>
              <w:t>means</w:t>
            </w:r>
            <w:proofErr w:type="gramEnd"/>
            <w:r w:rsidR="00F5225C" w:rsidRPr="00695123">
              <w:rPr>
                <w:lang w:val="en-GB"/>
              </w:rPr>
              <w:t xml:space="preserve">, without restriction: no incidents, no complaints and no faulty products. This is </w:t>
            </w:r>
            <w:proofErr w:type="gramStart"/>
            <w:r w:rsidR="00F5225C" w:rsidRPr="00695123">
              <w:rPr>
                <w:lang w:val="en-GB"/>
              </w:rPr>
              <w:t>taken into account</w:t>
            </w:r>
            <w:proofErr w:type="gramEnd"/>
            <w:r w:rsidR="00F5225C" w:rsidRPr="00695123">
              <w:rPr>
                <w:lang w:val="en-GB"/>
              </w:rPr>
              <w:t xml:space="preserve"> in our supplier evaluation.</w:t>
            </w:r>
          </w:p>
          <w:p w14:paraId="4E6906E6" w14:textId="404F0FEC" w:rsidR="001954AE" w:rsidRPr="00695123" w:rsidRDefault="00D023B7" w:rsidP="0062096D">
            <w:pPr>
              <w:pStyle w:val="StandardDEEN"/>
              <w:rPr>
                <w:szCs w:val="24"/>
                <w:lang w:val="en-US"/>
              </w:rPr>
            </w:pPr>
            <w:r w:rsidRPr="00695123">
              <w:rPr>
                <w:szCs w:val="24"/>
                <w:lang w:val="en-US"/>
              </w:rPr>
              <w:br/>
            </w:r>
            <w:r w:rsidR="001954AE" w:rsidRPr="00695123">
              <w:rPr>
                <w:szCs w:val="24"/>
                <w:lang w:val="en-US"/>
              </w:rPr>
              <w:t xml:space="preserve">The agreement of ppm values within the scope of the target corridor shall not constitute any quality level accepted by </w:t>
            </w:r>
            <w:r w:rsidR="001954AE" w:rsidRPr="00695123">
              <w:rPr>
                <w:rFonts w:cs="HelveticaNeue-Bold"/>
                <w:bCs/>
                <w:szCs w:val="24"/>
                <w:lang w:val="en-US"/>
              </w:rPr>
              <w:t>KAYSER and shall not affect the Supplier’s liability for warranty and damages claims of KAYSER based on defects in deliveries</w:t>
            </w:r>
            <w:r w:rsidR="001954AE" w:rsidRPr="00695123">
              <w:rPr>
                <w:szCs w:val="24"/>
                <w:lang w:val="en-US"/>
              </w:rPr>
              <w:t>. Rather, the Supplier shall also be liable by virtue of the contractual provisions</w:t>
            </w:r>
            <w:r w:rsidR="00C75711" w:rsidRPr="00695123">
              <w:rPr>
                <w:szCs w:val="24"/>
                <w:lang w:val="en-US"/>
              </w:rPr>
              <w:t xml:space="preserve"> and </w:t>
            </w:r>
            <w:proofErr w:type="spellStart"/>
            <w:r w:rsidR="00C75711" w:rsidRPr="00695123">
              <w:rPr>
                <w:szCs w:val="24"/>
                <w:lang w:val="en-US"/>
              </w:rPr>
              <w:t>statuatory</w:t>
            </w:r>
            <w:proofErr w:type="spellEnd"/>
            <w:r w:rsidR="00C75711" w:rsidRPr="00695123">
              <w:rPr>
                <w:szCs w:val="24"/>
                <w:lang w:val="en-US"/>
              </w:rPr>
              <w:t xml:space="preserve"> requirements</w:t>
            </w:r>
            <w:r w:rsidR="001954AE" w:rsidRPr="00695123">
              <w:rPr>
                <w:szCs w:val="24"/>
                <w:lang w:val="en-US"/>
              </w:rPr>
              <w:t xml:space="preserve"> for any defects if the defect frequency is within the agreed target corridor.</w:t>
            </w:r>
          </w:p>
          <w:p w14:paraId="2E3A9127" w14:textId="77777777" w:rsidR="00AB30AD" w:rsidRPr="00695123" w:rsidRDefault="00AB30AD" w:rsidP="00AB30AD">
            <w:pPr>
              <w:pStyle w:val="StandardDEEN"/>
              <w:spacing w:before="0"/>
              <w:rPr>
                <w:szCs w:val="24"/>
                <w:lang w:val="en-US"/>
              </w:rPr>
            </w:pPr>
          </w:p>
          <w:p w14:paraId="17DF58B7" w14:textId="77777777" w:rsidR="001954AE" w:rsidRPr="00695123" w:rsidRDefault="001954AE" w:rsidP="0062096D">
            <w:pPr>
              <w:pStyle w:val="StandardDEEN"/>
              <w:rPr>
                <w:rFonts w:cs="HelveticaNeue-Light"/>
                <w:szCs w:val="24"/>
                <w:lang w:val="en-GB"/>
              </w:rPr>
            </w:pPr>
            <w:r w:rsidRPr="00695123">
              <w:rPr>
                <w:rFonts w:cs="HelveticaNeue-Light"/>
                <w:szCs w:val="24"/>
                <w:lang w:val="en-US"/>
              </w:rPr>
              <w:t>The defect quantities shall be calculated with the following peripheral conditions</w:t>
            </w:r>
            <w:r w:rsidRPr="00695123">
              <w:rPr>
                <w:rFonts w:cs="HelveticaNeue-Light"/>
                <w:szCs w:val="24"/>
                <w:lang w:val="en-GB"/>
              </w:rPr>
              <w:t>:</w:t>
            </w:r>
          </w:p>
          <w:p w14:paraId="6E5B2C42" w14:textId="77777777" w:rsidR="001954AE" w:rsidRPr="00695123" w:rsidRDefault="001954AE" w:rsidP="00410CB0">
            <w:pPr>
              <w:pStyle w:val="StandardDEEN"/>
              <w:numPr>
                <w:ilvl w:val="0"/>
                <w:numId w:val="11"/>
              </w:numPr>
              <w:spacing w:before="0"/>
              <w:rPr>
                <w:rFonts w:cs="HelveticaNeue-Light"/>
                <w:szCs w:val="24"/>
                <w:lang w:val="en-US"/>
              </w:rPr>
            </w:pPr>
            <w:r w:rsidRPr="00695123">
              <w:rPr>
                <w:rFonts w:cs="HelveticaNeue-Light"/>
                <w:szCs w:val="24"/>
                <w:lang w:val="en-GB"/>
              </w:rPr>
              <w:t>P</w:t>
            </w:r>
            <w:r w:rsidRPr="00695123">
              <w:rPr>
                <w:rFonts w:cs="HelveticaNeue-Light"/>
                <w:szCs w:val="24"/>
                <w:lang w:val="en-US"/>
              </w:rPr>
              <w:t>arts to which objection has been made from incoming goods and production as well as customer complaints are recorded.</w:t>
            </w:r>
          </w:p>
          <w:p w14:paraId="3ABDE0A1" w14:textId="77777777" w:rsidR="001954AE" w:rsidRPr="00695123" w:rsidRDefault="001954AE" w:rsidP="00410CB0">
            <w:pPr>
              <w:pStyle w:val="StandardDEEN"/>
              <w:numPr>
                <w:ilvl w:val="0"/>
                <w:numId w:val="11"/>
              </w:numPr>
              <w:spacing w:before="0"/>
              <w:rPr>
                <w:rFonts w:cs="HelveticaNeue-Light"/>
                <w:szCs w:val="24"/>
                <w:lang w:val="en-US"/>
              </w:rPr>
            </w:pPr>
            <w:r w:rsidRPr="00695123">
              <w:rPr>
                <w:rFonts w:cs="HelveticaNeue-Light"/>
                <w:szCs w:val="24"/>
                <w:lang w:val="en-US"/>
              </w:rPr>
              <w:t xml:space="preserve">If the Supplier requests a return of the goods before they are processed (due to a defect </w:t>
            </w:r>
            <w:proofErr w:type="spellStart"/>
            <w:r w:rsidRPr="00695123">
              <w:rPr>
                <w:rFonts w:cs="HelveticaNeue-Light"/>
                <w:szCs w:val="24"/>
                <w:lang w:val="en-US"/>
              </w:rPr>
              <w:t>recognised</w:t>
            </w:r>
            <w:proofErr w:type="spellEnd"/>
            <w:r w:rsidRPr="00695123">
              <w:rPr>
                <w:rFonts w:cs="HelveticaNeue-Light"/>
                <w:szCs w:val="24"/>
                <w:lang w:val="en-US"/>
              </w:rPr>
              <w:t xml:space="preserve"> by the Supplier), the defects shall not be included in the ppm statistics (external number of defects = 0).</w:t>
            </w:r>
          </w:p>
          <w:p w14:paraId="215F55AF" w14:textId="77777777" w:rsidR="001954AE" w:rsidRPr="00695123" w:rsidRDefault="001954AE" w:rsidP="00410CB0">
            <w:pPr>
              <w:pStyle w:val="StandardDEEN"/>
              <w:numPr>
                <w:ilvl w:val="0"/>
                <w:numId w:val="11"/>
              </w:numPr>
              <w:spacing w:before="0"/>
              <w:rPr>
                <w:rFonts w:cs="HelveticaNeue-Light"/>
                <w:szCs w:val="24"/>
                <w:lang w:val="en-US"/>
              </w:rPr>
            </w:pPr>
            <w:r w:rsidRPr="00695123">
              <w:rPr>
                <w:rFonts w:cs="HelveticaNeue-Light"/>
                <w:szCs w:val="24"/>
                <w:lang w:val="en-US"/>
              </w:rPr>
              <w:t>If the Supplier or KAYSER conducts sorting, those parts which are not correct are included in the ppm calculation.</w:t>
            </w:r>
          </w:p>
          <w:p w14:paraId="6166E234" w14:textId="77777777" w:rsidR="001954AE" w:rsidRPr="00695123" w:rsidRDefault="001954AE" w:rsidP="0062096D">
            <w:pPr>
              <w:pStyle w:val="StandardDEEN"/>
              <w:rPr>
                <w:rFonts w:cs="HelveticaNeue-Light"/>
                <w:szCs w:val="24"/>
                <w:lang w:val="en-GB"/>
              </w:rPr>
            </w:pPr>
            <w:r w:rsidRPr="00695123">
              <w:rPr>
                <w:rFonts w:cs="HelveticaNeue-Light"/>
                <w:szCs w:val="24"/>
                <w:lang w:val="en-GB"/>
              </w:rPr>
              <w:t>Sorting can mean here:</w:t>
            </w:r>
          </w:p>
          <w:p w14:paraId="4300D79B" w14:textId="77777777" w:rsidR="001954AE" w:rsidRPr="00695123" w:rsidRDefault="001954AE" w:rsidP="00410CB0">
            <w:pPr>
              <w:pStyle w:val="StandardDEEN"/>
              <w:numPr>
                <w:ilvl w:val="0"/>
                <w:numId w:val="12"/>
              </w:numPr>
              <w:spacing w:before="0"/>
              <w:rPr>
                <w:rFonts w:cs="HelveticaNeue-Light"/>
                <w:szCs w:val="24"/>
                <w:lang w:val="en-GB"/>
              </w:rPr>
            </w:pPr>
            <w:r w:rsidRPr="00695123">
              <w:rPr>
                <w:rFonts w:cs="HelveticaNeue-Light"/>
                <w:szCs w:val="24"/>
                <w:lang w:val="en-GB"/>
              </w:rPr>
              <w:t>Sorting at KAYSER by KAYSER, by the Supplier or by external refinishing companies.</w:t>
            </w:r>
          </w:p>
          <w:p w14:paraId="125C32AC" w14:textId="77777777" w:rsidR="00AB30AD" w:rsidRPr="00695123" w:rsidRDefault="00AB30AD" w:rsidP="00AB30AD">
            <w:pPr>
              <w:pStyle w:val="StandardDEEN"/>
              <w:spacing w:before="0"/>
              <w:rPr>
                <w:rFonts w:cs="HelveticaNeue-Light"/>
                <w:szCs w:val="24"/>
                <w:lang w:val="en-GB"/>
              </w:rPr>
            </w:pPr>
          </w:p>
          <w:p w14:paraId="7610B065" w14:textId="77777777" w:rsidR="001954AE" w:rsidRPr="00695123" w:rsidRDefault="001954AE" w:rsidP="00410CB0">
            <w:pPr>
              <w:pStyle w:val="StandardDEEN"/>
              <w:numPr>
                <w:ilvl w:val="0"/>
                <w:numId w:val="12"/>
              </w:numPr>
              <w:spacing w:before="0"/>
              <w:rPr>
                <w:rFonts w:cs="HelveticaNeue-Light"/>
                <w:szCs w:val="24"/>
                <w:lang w:val="en-US"/>
              </w:rPr>
            </w:pPr>
            <w:r w:rsidRPr="00695123">
              <w:rPr>
                <w:rFonts w:cs="HelveticaNeue-Light"/>
                <w:szCs w:val="24"/>
                <w:lang w:val="en-US"/>
              </w:rPr>
              <w:t>Processing in production with identification of the defective parts.</w:t>
            </w:r>
          </w:p>
          <w:p w14:paraId="794C1091" w14:textId="77777777" w:rsidR="00B66316" w:rsidRPr="00695123" w:rsidRDefault="001954AE" w:rsidP="00410CB0">
            <w:pPr>
              <w:pStyle w:val="StandardDEEN"/>
              <w:numPr>
                <w:ilvl w:val="0"/>
                <w:numId w:val="12"/>
              </w:numPr>
              <w:spacing w:before="0"/>
              <w:rPr>
                <w:lang w:val="en-GB"/>
              </w:rPr>
            </w:pPr>
            <w:r w:rsidRPr="00695123">
              <w:rPr>
                <w:rFonts w:cs="HelveticaNeue-Light"/>
                <w:szCs w:val="24"/>
                <w:lang w:val="en-US"/>
              </w:rPr>
              <w:t xml:space="preserve">At the Supplier, reporting the </w:t>
            </w:r>
            <w:proofErr w:type="gramStart"/>
            <w:r w:rsidRPr="00695123">
              <w:rPr>
                <w:rFonts w:cs="HelveticaNeue-Light"/>
                <w:szCs w:val="24"/>
                <w:lang w:val="en-US"/>
              </w:rPr>
              <w:t>actually defective</w:t>
            </w:r>
            <w:proofErr w:type="gramEnd"/>
            <w:r w:rsidRPr="00695123">
              <w:rPr>
                <w:rFonts w:cs="HelveticaNeue-Light"/>
                <w:szCs w:val="24"/>
                <w:lang w:val="en-US"/>
              </w:rPr>
              <w:t xml:space="preserve"> parts</w:t>
            </w:r>
            <w:r w:rsidRPr="00695123">
              <w:rPr>
                <w:rFonts w:cs="HelveticaNeue-Light"/>
                <w:szCs w:val="24"/>
                <w:lang w:val="en-GB"/>
              </w:rPr>
              <w:t>. In this case, KAYSER may at its discretion enter the quantity reported to be defective by the Supplier or 100% of the returned goods/quantity as defective in the system.</w:t>
            </w:r>
          </w:p>
        </w:tc>
      </w:tr>
      <w:tr w:rsidR="00695123" w:rsidRPr="00473277" w14:paraId="233BE0DA" w14:textId="77777777" w:rsidTr="00AD39CE">
        <w:tc>
          <w:tcPr>
            <w:tcW w:w="4988" w:type="dxa"/>
            <w:tcBorders>
              <w:top w:val="nil"/>
              <w:left w:val="nil"/>
              <w:bottom w:val="nil"/>
              <w:right w:val="nil"/>
            </w:tcBorders>
          </w:tcPr>
          <w:p w14:paraId="73D6A123" w14:textId="41FBE37B" w:rsidR="0057796A" w:rsidRPr="00695123" w:rsidRDefault="0057796A" w:rsidP="00915912">
            <w:pPr>
              <w:pStyle w:val="berschrift1"/>
              <w:numPr>
                <w:ilvl w:val="0"/>
                <w:numId w:val="0"/>
              </w:numPr>
              <w:ind w:left="357" w:hanging="357"/>
              <w:rPr>
                <w:color w:val="000000" w:themeColor="text1"/>
              </w:rPr>
            </w:pPr>
            <w:bookmarkStart w:id="48" w:name="_Toc492627351"/>
            <w:bookmarkStart w:id="49" w:name="_Toc492643827"/>
            <w:r w:rsidRPr="00695123">
              <w:rPr>
                <w:color w:val="000000" w:themeColor="text1"/>
              </w:rPr>
              <w:t>§ 1</w:t>
            </w:r>
            <w:r w:rsidR="00C80337" w:rsidRPr="00695123">
              <w:rPr>
                <w:color w:val="000000" w:themeColor="text1"/>
              </w:rPr>
              <w:t>9</w:t>
            </w:r>
            <w:r w:rsidRPr="00695123">
              <w:rPr>
                <w:color w:val="000000" w:themeColor="text1"/>
              </w:rPr>
              <w:t>. Reklamationsmanagement</w:t>
            </w:r>
            <w:bookmarkEnd w:id="48"/>
            <w:bookmarkEnd w:id="49"/>
          </w:p>
          <w:p w14:paraId="0BF0ABBC" w14:textId="0B00F7F4" w:rsidR="0057796A" w:rsidRPr="00695123" w:rsidRDefault="0057796A" w:rsidP="00915912">
            <w:pPr>
              <w:pStyle w:val="StandardDEEN"/>
              <w:rPr>
                <w:color w:val="000000" w:themeColor="text1"/>
              </w:rPr>
            </w:pPr>
            <w:r w:rsidRPr="00695123">
              <w:rPr>
                <w:color w:val="000000" w:themeColor="text1"/>
              </w:rPr>
              <w:t>Weichen gelieferte Produkte von den geforderten Spezifikationen</w:t>
            </w:r>
            <w:r w:rsidR="00643F9E" w:rsidRPr="00695123">
              <w:rPr>
                <w:color w:val="000000" w:themeColor="text1"/>
              </w:rPr>
              <w:t>,</w:t>
            </w:r>
            <w:r w:rsidR="0078195B" w:rsidRPr="00695123">
              <w:rPr>
                <w:color w:val="000000" w:themeColor="text1"/>
              </w:rPr>
              <w:t xml:space="preserve"> </w:t>
            </w:r>
            <w:r w:rsidR="00643F9E" w:rsidRPr="00695123">
              <w:rPr>
                <w:color w:val="000000" w:themeColor="text1"/>
              </w:rPr>
              <w:t>gesetzlichen</w:t>
            </w:r>
            <w:r w:rsidR="0078195B" w:rsidRPr="00695123">
              <w:rPr>
                <w:color w:val="000000" w:themeColor="text1"/>
              </w:rPr>
              <w:t xml:space="preserve"> </w:t>
            </w:r>
            <w:r w:rsidR="00643F9E" w:rsidRPr="00695123">
              <w:rPr>
                <w:color w:val="000000" w:themeColor="text1"/>
              </w:rPr>
              <w:t>Forderungen</w:t>
            </w:r>
            <w:r w:rsidRPr="00695123">
              <w:rPr>
                <w:color w:val="000000" w:themeColor="text1"/>
              </w:rPr>
              <w:t xml:space="preserve"> oder Anforderungen der KAYSER AUTOMOTIVE ab, wird eine Lieferantenreklamation ausgelöst und an den Lieferanten gesendet.</w:t>
            </w:r>
            <w:r w:rsidR="00B975F1" w:rsidRPr="00695123">
              <w:rPr>
                <w:color w:val="000000" w:themeColor="text1"/>
              </w:rPr>
              <w:t xml:space="preserve"> </w:t>
            </w:r>
            <w:r w:rsidRPr="00695123">
              <w:rPr>
                <w:color w:val="000000" w:themeColor="text1"/>
              </w:rPr>
              <w:t>Der Lieferant muss die Reklamation anhand der</w:t>
            </w:r>
            <w:r w:rsidR="00B975F1" w:rsidRPr="00695123">
              <w:rPr>
                <w:color w:val="000000" w:themeColor="text1"/>
              </w:rPr>
              <w:t xml:space="preserve"> </w:t>
            </w:r>
            <w:r w:rsidRPr="00695123">
              <w:rPr>
                <w:color w:val="000000" w:themeColor="text1"/>
              </w:rPr>
              <w:t>8-D Methodik</w:t>
            </w:r>
            <w:r w:rsidR="00722166" w:rsidRPr="00695123">
              <w:rPr>
                <w:color w:val="000000" w:themeColor="text1"/>
              </w:rPr>
              <w:t xml:space="preserve"> unter Einhaltung der folgenden</w:t>
            </w:r>
            <w:r w:rsidR="00F4799D" w:rsidRPr="00695123">
              <w:rPr>
                <w:color w:val="000000" w:themeColor="text1"/>
              </w:rPr>
              <w:t xml:space="preserve"> </w:t>
            </w:r>
            <w:r w:rsidR="00722166" w:rsidRPr="00695123">
              <w:rPr>
                <w:color w:val="000000" w:themeColor="text1"/>
              </w:rPr>
              <w:t>Zeitvorgaben</w:t>
            </w:r>
            <w:r w:rsidRPr="00695123">
              <w:rPr>
                <w:color w:val="000000" w:themeColor="text1"/>
              </w:rPr>
              <w:t xml:space="preserve"> beantworten:</w:t>
            </w:r>
          </w:p>
          <w:p w14:paraId="2AF9140E" w14:textId="77777777" w:rsidR="0057796A" w:rsidRPr="00695123" w:rsidRDefault="0057796A" w:rsidP="00410CB0">
            <w:pPr>
              <w:pStyle w:val="StandardDEEN"/>
              <w:numPr>
                <w:ilvl w:val="0"/>
                <w:numId w:val="8"/>
              </w:numPr>
              <w:rPr>
                <w:b/>
                <w:color w:val="000000" w:themeColor="text1"/>
                <w:szCs w:val="24"/>
              </w:rPr>
            </w:pPr>
            <w:r w:rsidRPr="00695123">
              <w:rPr>
                <w:color w:val="000000" w:themeColor="text1"/>
              </w:rPr>
              <w:t>Innerhalb von 24 Stunden:</w:t>
            </w:r>
          </w:p>
          <w:p w14:paraId="30831EE0" w14:textId="77777777" w:rsidR="0057796A" w:rsidRPr="00695123" w:rsidRDefault="0057796A" w:rsidP="00410CB0">
            <w:pPr>
              <w:pStyle w:val="StandardDEEN"/>
              <w:numPr>
                <w:ilvl w:val="1"/>
                <w:numId w:val="8"/>
              </w:numPr>
              <w:spacing w:before="0"/>
              <w:ind w:left="1134" w:hanging="425"/>
              <w:rPr>
                <w:b/>
                <w:color w:val="000000" w:themeColor="text1"/>
                <w:szCs w:val="24"/>
              </w:rPr>
            </w:pPr>
            <w:r w:rsidRPr="00695123">
              <w:rPr>
                <w:color w:val="000000" w:themeColor="text1"/>
              </w:rPr>
              <w:t xml:space="preserve">Detaillierte Problembeschreibung.  </w:t>
            </w:r>
          </w:p>
          <w:p w14:paraId="31443D49" w14:textId="77777777" w:rsidR="0057796A" w:rsidRPr="00695123" w:rsidRDefault="0057796A" w:rsidP="00410CB0">
            <w:pPr>
              <w:pStyle w:val="StandardDEEN"/>
              <w:numPr>
                <w:ilvl w:val="1"/>
                <w:numId w:val="8"/>
              </w:numPr>
              <w:spacing w:before="0"/>
              <w:ind w:left="1134" w:hanging="425"/>
              <w:rPr>
                <w:b/>
                <w:color w:val="000000" w:themeColor="text1"/>
                <w:szCs w:val="24"/>
              </w:rPr>
            </w:pPr>
            <w:r w:rsidRPr="00695123">
              <w:rPr>
                <w:color w:val="000000" w:themeColor="text1"/>
              </w:rPr>
              <w:t>Das Problem ist verstanden und die Problemlösung ist begonnen.</w:t>
            </w:r>
          </w:p>
          <w:p w14:paraId="21EFDF0E" w14:textId="67797260" w:rsidR="0057796A" w:rsidRPr="00695123" w:rsidRDefault="0057796A" w:rsidP="00410CB0">
            <w:pPr>
              <w:pStyle w:val="StandardDEEN"/>
              <w:numPr>
                <w:ilvl w:val="1"/>
                <w:numId w:val="8"/>
              </w:numPr>
              <w:spacing w:before="0"/>
              <w:ind w:left="1134" w:hanging="425"/>
              <w:rPr>
                <w:b/>
                <w:color w:val="000000" w:themeColor="text1"/>
                <w:szCs w:val="24"/>
              </w:rPr>
            </w:pPr>
            <w:r w:rsidRPr="00695123">
              <w:rPr>
                <w:color w:val="000000" w:themeColor="text1"/>
              </w:rPr>
              <w:t>Sofortmaßnahmen</w:t>
            </w:r>
            <w:r w:rsidR="00722166" w:rsidRPr="00695123">
              <w:rPr>
                <w:color w:val="000000" w:themeColor="text1"/>
              </w:rPr>
              <w:t xml:space="preserve"> zur Eindämmung</w:t>
            </w:r>
            <w:r w:rsidRPr="00695123">
              <w:rPr>
                <w:color w:val="000000" w:themeColor="text1"/>
              </w:rPr>
              <w:t xml:space="preserve"> sind eingeleitet.</w:t>
            </w:r>
          </w:p>
          <w:p w14:paraId="0A4CE525" w14:textId="41773B3A" w:rsidR="0057796A" w:rsidRPr="00695123" w:rsidRDefault="0057796A" w:rsidP="00410CB0">
            <w:pPr>
              <w:pStyle w:val="StandardDEEN"/>
              <w:numPr>
                <w:ilvl w:val="0"/>
                <w:numId w:val="8"/>
              </w:numPr>
              <w:rPr>
                <w:color w:val="000000" w:themeColor="text1"/>
              </w:rPr>
            </w:pPr>
            <w:r w:rsidRPr="00695123">
              <w:rPr>
                <w:color w:val="000000" w:themeColor="text1"/>
              </w:rPr>
              <w:t>Innerhalb von</w:t>
            </w:r>
            <w:r w:rsidR="00722166" w:rsidRPr="00695123">
              <w:rPr>
                <w:color w:val="000000" w:themeColor="text1"/>
              </w:rPr>
              <w:t xml:space="preserve"> 10</w:t>
            </w:r>
            <w:r w:rsidRPr="00695123">
              <w:rPr>
                <w:color w:val="000000" w:themeColor="text1"/>
              </w:rPr>
              <w:t xml:space="preserve"> Werktagen:</w:t>
            </w:r>
          </w:p>
          <w:p w14:paraId="42FF73BD" w14:textId="77777777" w:rsidR="0057796A" w:rsidRPr="00695123" w:rsidRDefault="0057796A" w:rsidP="00410CB0">
            <w:pPr>
              <w:pStyle w:val="StandardDEEN"/>
              <w:numPr>
                <w:ilvl w:val="1"/>
                <w:numId w:val="8"/>
              </w:numPr>
              <w:spacing w:before="0"/>
              <w:ind w:left="1134" w:hanging="425"/>
              <w:rPr>
                <w:color w:val="000000" w:themeColor="text1"/>
              </w:rPr>
            </w:pPr>
            <w:r w:rsidRPr="00695123">
              <w:rPr>
                <w:color w:val="000000" w:themeColor="text1"/>
              </w:rPr>
              <w:t>Ursachenanalyse bezüglich de</w:t>
            </w:r>
            <w:r w:rsidR="007A4315" w:rsidRPr="00695123">
              <w:rPr>
                <w:color w:val="000000" w:themeColor="text1"/>
              </w:rPr>
              <w:t>s</w:t>
            </w:r>
            <w:r w:rsidRPr="00695123">
              <w:rPr>
                <w:color w:val="000000" w:themeColor="text1"/>
              </w:rPr>
              <w:t xml:space="preserve"> „Nicht Entdeckens“.</w:t>
            </w:r>
          </w:p>
          <w:p w14:paraId="5D07F572" w14:textId="77777777" w:rsidR="0057796A" w:rsidRPr="00695123" w:rsidRDefault="0057796A" w:rsidP="00410CB0">
            <w:pPr>
              <w:pStyle w:val="StandardDEEN"/>
              <w:numPr>
                <w:ilvl w:val="1"/>
                <w:numId w:val="8"/>
              </w:numPr>
              <w:spacing w:before="0"/>
              <w:ind w:left="1134" w:hanging="425"/>
              <w:rPr>
                <w:color w:val="000000" w:themeColor="text1"/>
              </w:rPr>
            </w:pPr>
            <w:r w:rsidRPr="00695123">
              <w:rPr>
                <w:color w:val="000000" w:themeColor="text1"/>
              </w:rPr>
              <w:t>Ursachenanalyse bezüglich des „Auftretens“.</w:t>
            </w:r>
          </w:p>
          <w:p w14:paraId="156003D0" w14:textId="7F551FC6" w:rsidR="0057796A" w:rsidRPr="00695123" w:rsidRDefault="0057796A" w:rsidP="00410CB0">
            <w:pPr>
              <w:pStyle w:val="StandardDEEN"/>
              <w:numPr>
                <w:ilvl w:val="1"/>
                <w:numId w:val="8"/>
              </w:numPr>
              <w:spacing w:before="0"/>
              <w:ind w:left="1134" w:hanging="425"/>
              <w:rPr>
                <w:strike/>
                <w:color w:val="000000" w:themeColor="text1"/>
              </w:rPr>
            </w:pPr>
            <w:r w:rsidRPr="00695123">
              <w:rPr>
                <w:color w:val="000000" w:themeColor="text1"/>
              </w:rPr>
              <w:t>Definition von</w:t>
            </w:r>
            <w:r w:rsidR="00722166" w:rsidRPr="00695123">
              <w:rPr>
                <w:color w:val="000000" w:themeColor="text1"/>
              </w:rPr>
              <w:t xml:space="preserve"> Korrekturmaßnahmen zur Beseitigung der Ursache.</w:t>
            </w:r>
          </w:p>
          <w:p w14:paraId="232079CB" w14:textId="77777777" w:rsidR="0057796A" w:rsidRPr="00695123" w:rsidRDefault="0057796A" w:rsidP="00410CB0">
            <w:pPr>
              <w:pStyle w:val="StandardDEEN"/>
              <w:numPr>
                <w:ilvl w:val="0"/>
                <w:numId w:val="8"/>
              </w:numPr>
              <w:rPr>
                <w:color w:val="000000" w:themeColor="text1"/>
              </w:rPr>
            </w:pPr>
            <w:r w:rsidRPr="00695123">
              <w:rPr>
                <w:color w:val="000000" w:themeColor="text1"/>
              </w:rPr>
              <w:t>Innerhalb von 30 Werktagen:</w:t>
            </w:r>
          </w:p>
          <w:p w14:paraId="2FED2E13" w14:textId="07407766" w:rsidR="0057796A" w:rsidRPr="00695123" w:rsidRDefault="0057796A" w:rsidP="00410CB0">
            <w:pPr>
              <w:pStyle w:val="StandardDEEN"/>
              <w:numPr>
                <w:ilvl w:val="1"/>
                <w:numId w:val="8"/>
              </w:numPr>
              <w:spacing w:before="0"/>
              <w:ind w:left="1134" w:hanging="425"/>
              <w:rPr>
                <w:color w:val="000000" w:themeColor="text1"/>
              </w:rPr>
            </w:pPr>
            <w:r w:rsidRPr="00695123">
              <w:rPr>
                <w:color w:val="000000" w:themeColor="text1"/>
              </w:rPr>
              <w:t xml:space="preserve">Bestätigung der eingeführten </w:t>
            </w:r>
            <w:r w:rsidR="00C53D20" w:rsidRPr="00695123">
              <w:rPr>
                <w:color w:val="000000" w:themeColor="text1"/>
              </w:rPr>
              <w:t>Korrekturm</w:t>
            </w:r>
            <w:r w:rsidRPr="00695123">
              <w:rPr>
                <w:color w:val="000000" w:themeColor="text1"/>
              </w:rPr>
              <w:t xml:space="preserve">aßnahmen. </w:t>
            </w:r>
          </w:p>
          <w:p w14:paraId="390D53C3" w14:textId="5AA62AC8" w:rsidR="0057796A" w:rsidRPr="00695123" w:rsidRDefault="0057796A" w:rsidP="00410CB0">
            <w:pPr>
              <w:pStyle w:val="StandardDEEN"/>
              <w:numPr>
                <w:ilvl w:val="1"/>
                <w:numId w:val="8"/>
              </w:numPr>
              <w:spacing w:before="0"/>
              <w:ind w:left="1134" w:hanging="425"/>
              <w:rPr>
                <w:color w:val="000000" w:themeColor="text1"/>
              </w:rPr>
            </w:pPr>
            <w:r w:rsidRPr="00695123">
              <w:rPr>
                <w:color w:val="000000" w:themeColor="text1"/>
              </w:rPr>
              <w:t>Definition von</w:t>
            </w:r>
            <w:r w:rsidR="00C53D20" w:rsidRPr="00695123">
              <w:rPr>
                <w:color w:val="000000" w:themeColor="text1"/>
              </w:rPr>
              <w:t xml:space="preserve"> </w:t>
            </w:r>
            <w:proofErr w:type="spellStart"/>
            <w:r w:rsidR="00C53D20" w:rsidRPr="00695123">
              <w:rPr>
                <w:color w:val="000000" w:themeColor="text1"/>
              </w:rPr>
              <w:t>Preventivmaßnahmen</w:t>
            </w:r>
            <w:proofErr w:type="spellEnd"/>
            <w:r w:rsidRPr="00695123">
              <w:rPr>
                <w:color w:val="000000" w:themeColor="text1"/>
              </w:rPr>
              <w:t xml:space="preserve"> </w:t>
            </w:r>
          </w:p>
          <w:p w14:paraId="2A8BFE7D" w14:textId="6A2845AF" w:rsidR="009475B9" w:rsidRPr="00695123" w:rsidRDefault="00D023B7" w:rsidP="003B2010">
            <w:pPr>
              <w:pStyle w:val="StandardDEEN"/>
              <w:rPr>
                <w:color w:val="000000" w:themeColor="text1"/>
              </w:rPr>
            </w:pPr>
            <w:r w:rsidRPr="00695123">
              <w:rPr>
                <w:color w:val="000000" w:themeColor="text1"/>
              </w:rPr>
              <w:br/>
            </w:r>
            <w:r w:rsidR="009475B9" w:rsidRPr="00695123">
              <w:rPr>
                <w:color w:val="000000" w:themeColor="text1"/>
              </w:rPr>
              <w:t>Ggfls. abweichende Anforderungen, z.B. aufgrund von Kundenanforderungen, werden im Reklamationsanschreiben kommuniziert.</w:t>
            </w:r>
          </w:p>
          <w:p w14:paraId="593A036B" w14:textId="66CED559" w:rsidR="00043473" w:rsidRPr="00695123" w:rsidRDefault="00043473" w:rsidP="003B2010">
            <w:pPr>
              <w:pStyle w:val="StandardDEEN"/>
              <w:rPr>
                <w:color w:val="000000" w:themeColor="text1"/>
              </w:rPr>
            </w:pPr>
            <w:r w:rsidRPr="00695123">
              <w:rPr>
                <w:color w:val="000000" w:themeColor="text1"/>
              </w:rPr>
              <w:t>Die tatsächlich entstanden Reklamationskosten werden Ihnen separat in Rechnung gestellt.</w:t>
            </w:r>
          </w:p>
          <w:p w14:paraId="4F5336E8" w14:textId="0E57986B" w:rsidR="00B66316" w:rsidRPr="00695123" w:rsidRDefault="0057796A" w:rsidP="003B2010">
            <w:pPr>
              <w:pStyle w:val="StandardDEEN"/>
              <w:rPr>
                <w:color w:val="000000" w:themeColor="text1"/>
              </w:rPr>
            </w:pPr>
            <w:r w:rsidRPr="00695123">
              <w:rPr>
                <w:color w:val="000000" w:themeColor="text1"/>
              </w:rPr>
              <w:t>Sollten diese Fristen nicht eingehalten werden, führt dies zu Abzügen in der Lieferantenbewertung</w:t>
            </w:r>
            <w:r w:rsidR="00643F9E" w:rsidRPr="00695123">
              <w:rPr>
                <w:color w:val="000000" w:themeColor="text1"/>
              </w:rPr>
              <w:t>. Eine Verlängerung dieser Fristen ist nur mit entsprechender Be</w:t>
            </w:r>
            <w:r w:rsidR="007A4315" w:rsidRPr="00695123">
              <w:rPr>
                <w:color w:val="000000" w:themeColor="text1"/>
              </w:rPr>
              <w:t>g</w:t>
            </w:r>
            <w:r w:rsidR="00643F9E" w:rsidRPr="00695123">
              <w:rPr>
                <w:color w:val="000000" w:themeColor="text1"/>
              </w:rPr>
              <w:t xml:space="preserve">ründung und in Absprache mit den verantwortlichen Sachbearbeiter </w:t>
            </w:r>
            <w:r w:rsidR="003B2010" w:rsidRPr="00695123">
              <w:rPr>
                <w:color w:val="000000" w:themeColor="text1"/>
              </w:rPr>
              <w:t>Von KAYSER</w:t>
            </w:r>
            <w:r w:rsidR="00643F9E" w:rsidRPr="00695123">
              <w:rPr>
                <w:color w:val="000000" w:themeColor="text1"/>
              </w:rPr>
              <w:t xml:space="preserve"> möglich. </w:t>
            </w:r>
          </w:p>
          <w:p w14:paraId="466E3EAB" w14:textId="77777777" w:rsidR="007C4FFB" w:rsidRPr="00695123" w:rsidRDefault="007C4FFB" w:rsidP="003B2010">
            <w:pPr>
              <w:pStyle w:val="StandardDEEN"/>
              <w:rPr>
                <w:color w:val="000000" w:themeColor="text1"/>
              </w:rPr>
            </w:pPr>
            <w:r w:rsidRPr="00695123">
              <w:rPr>
                <w:color w:val="000000" w:themeColor="text1"/>
              </w:rPr>
              <w:t>Schadteilanalyse Feld (NTF)</w:t>
            </w:r>
          </w:p>
          <w:p w14:paraId="0E66FE8A" w14:textId="77777777" w:rsidR="007C4FFB" w:rsidRPr="00695123" w:rsidRDefault="007C4FFB" w:rsidP="003B2010">
            <w:pPr>
              <w:pStyle w:val="StandardDEEN"/>
              <w:rPr>
                <w:color w:val="000000" w:themeColor="text1"/>
              </w:rPr>
            </w:pPr>
            <w:r w:rsidRPr="00695123">
              <w:rPr>
                <w:color w:val="000000" w:themeColor="text1"/>
              </w:rPr>
              <w:t>(IATF</w:t>
            </w:r>
            <w:proofErr w:type="gramStart"/>
            <w:r w:rsidRPr="00695123">
              <w:rPr>
                <w:color w:val="000000" w:themeColor="text1"/>
              </w:rPr>
              <w:t>16949:,</w:t>
            </w:r>
            <w:proofErr w:type="gramEnd"/>
            <w:r w:rsidRPr="00695123">
              <w:rPr>
                <w:color w:val="000000" w:themeColor="text1"/>
              </w:rPr>
              <w:t xml:space="preserve"> </w:t>
            </w:r>
            <w:proofErr w:type="spellStart"/>
            <w:r w:rsidRPr="00695123">
              <w:rPr>
                <w:color w:val="000000" w:themeColor="text1"/>
              </w:rPr>
              <w:t>Kundenspezifischeanforderungen</w:t>
            </w:r>
            <w:proofErr w:type="spellEnd"/>
            <w:r w:rsidRPr="00695123">
              <w:rPr>
                <w:color w:val="000000" w:themeColor="text1"/>
              </w:rPr>
              <w:t>)</w:t>
            </w:r>
          </w:p>
          <w:p w14:paraId="652A3868" w14:textId="63BF0DAB" w:rsidR="00D33EA2" w:rsidRPr="00695123" w:rsidRDefault="007C4FFB" w:rsidP="003B2010">
            <w:pPr>
              <w:pStyle w:val="StandardDEEN"/>
              <w:rPr>
                <w:color w:val="000000" w:themeColor="text1"/>
              </w:rPr>
            </w:pPr>
            <w:r w:rsidRPr="00695123">
              <w:rPr>
                <w:color w:val="000000" w:themeColor="text1"/>
              </w:rPr>
              <w:t>Bei Feldreklamationen ist ergänzend zu den 8D-Berichten eine Methode zur Schadteilanalyse</w:t>
            </w:r>
            <w:r w:rsidR="006A6C68" w:rsidRPr="00695123">
              <w:rPr>
                <w:color w:val="000000" w:themeColor="text1"/>
              </w:rPr>
              <w:t xml:space="preserve"> </w:t>
            </w:r>
            <w:r w:rsidR="00D33EA2" w:rsidRPr="00695123">
              <w:rPr>
                <w:color w:val="000000" w:themeColor="text1"/>
              </w:rPr>
              <w:t>anzuwenden</w:t>
            </w:r>
            <w:r w:rsidRPr="00695123">
              <w:rPr>
                <w:color w:val="000000" w:themeColor="text1"/>
              </w:rPr>
              <w:t>,</w:t>
            </w:r>
            <w:r w:rsidR="00D33EA2" w:rsidRPr="00695123">
              <w:rPr>
                <w:color w:val="000000" w:themeColor="text1"/>
              </w:rPr>
              <w:t xml:space="preserve"> die im Vorfeld der </w:t>
            </w:r>
            <w:proofErr w:type="gramStart"/>
            <w:r w:rsidR="00D33EA2" w:rsidRPr="00695123">
              <w:rPr>
                <w:color w:val="000000" w:themeColor="text1"/>
              </w:rPr>
              <w:t>APQP Phase</w:t>
            </w:r>
            <w:proofErr w:type="gramEnd"/>
            <w:r w:rsidR="00D33EA2" w:rsidRPr="00695123">
              <w:rPr>
                <w:color w:val="000000" w:themeColor="text1"/>
              </w:rPr>
              <w:t xml:space="preserve"> / BAG geplant</w:t>
            </w:r>
            <w:r w:rsidR="00D55B51" w:rsidRPr="00695123">
              <w:rPr>
                <w:color w:val="000000" w:themeColor="text1"/>
              </w:rPr>
              <w:t xml:space="preserve"> und abgestimmt</w:t>
            </w:r>
            <w:r w:rsidR="00D33EA2" w:rsidRPr="00695123">
              <w:rPr>
                <w:color w:val="000000" w:themeColor="text1"/>
              </w:rPr>
              <w:t xml:space="preserve"> wurde</w:t>
            </w:r>
            <w:r w:rsidR="00D55B51" w:rsidRPr="00695123">
              <w:rPr>
                <w:color w:val="000000" w:themeColor="text1"/>
              </w:rPr>
              <w:t>.</w:t>
            </w:r>
          </w:p>
          <w:p w14:paraId="2BED0596" w14:textId="139724F5" w:rsidR="00735A7F" w:rsidRPr="00695123" w:rsidRDefault="00A36D1E" w:rsidP="003B2010">
            <w:pPr>
              <w:pStyle w:val="StandardDEEN"/>
              <w:rPr>
                <w:color w:val="000000" w:themeColor="text1"/>
              </w:rPr>
            </w:pPr>
            <w:r w:rsidRPr="00695123">
              <w:rPr>
                <w:color w:val="000000" w:themeColor="text1"/>
              </w:rPr>
              <w:t>Im</w:t>
            </w:r>
            <w:r w:rsidR="00735A7F" w:rsidRPr="00695123">
              <w:rPr>
                <w:color w:val="000000" w:themeColor="text1"/>
              </w:rPr>
              <w:t xml:space="preserve"> Schadteilanalyseprozess einschließlich eines </w:t>
            </w:r>
            <w:proofErr w:type="spellStart"/>
            <w:r w:rsidR="00735A7F" w:rsidRPr="00695123">
              <w:rPr>
                <w:color w:val="000000" w:themeColor="text1"/>
              </w:rPr>
              <w:t>No</w:t>
            </w:r>
            <w:proofErr w:type="spellEnd"/>
            <w:r w:rsidR="00735A7F" w:rsidRPr="00695123">
              <w:rPr>
                <w:color w:val="000000" w:themeColor="text1"/>
              </w:rPr>
              <w:t xml:space="preserve"> Trouble </w:t>
            </w:r>
            <w:proofErr w:type="spellStart"/>
            <w:r w:rsidR="00735A7F" w:rsidRPr="00695123">
              <w:rPr>
                <w:color w:val="000000" w:themeColor="text1"/>
              </w:rPr>
              <w:t>Found</w:t>
            </w:r>
            <w:proofErr w:type="spellEnd"/>
            <w:r w:rsidR="00735A7F" w:rsidRPr="00695123">
              <w:rPr>
                <w:color w:val="000000" w:themeColor="text1"/>
              </w:rPr>
              <w:t>-Prozesses sowie einer Befundung der aus den Märkten zurückgelieferten Teile. Zur Vermeidung eines erneuten Auftretens des Fehlers m</w:t>
            </w:r>
            <w:r w:rsidRPr="00695123">
              <w:rPr>
                <w:color w:val="000000" w:themeColor="text1"/>
              </w:rPr>
              <w:t>üssen</w:t>
            </w:r>
            <w:r w:rsidR="00735A7F" w:rsidRPr="00695123">
              <w:rPr>
                <w:color w:val="000000" w:themeColor="text1"/>
              </w:rPr>
              <w:t xml:space="preserve"> Problemlösungsansätze und Korrekturmaßnahmen eingeleitet bzw. umgesetzt werden. Der Lieferant muss die Ergebnisse dieser Analysen, Befundungen und Maßnahmen sowohl intern als auch an KAYSER zu kommunizieren.</w:t>
            </w:r>
          </w:p>
          <w:p w14:paraId="0276DDE8" w14:textId="4ABF28B9" w:rsidR="007C4FFB" w:rsidRPr="00695123" w:rsidRDefault="004700EF" w:rsidP="003B2010">
            <w:pPr>
              <w:pStyle w:val="StandardDEEN"/>
              <w:rPr>
                <w:color w:val="000000" w:themeColor="text1"/>
              </w:rPr>
            </w:pPr>
            <w:r w:rsidRPr="00695123">
              <w:rPr>
                <w:color w:val="000000" w:themeColor="text1"/>
              </w:rPr>
              <w:t>Bei Bauteilen, für die im Untersuchungsprozess kein Fehler gefunden wurde (NTF-</w:t>
            </w:r>
            <w:proofErr w:type="spellStart"/>
            <w:r w:rsidRPr="00695123">
              <w:rPr>
                <w:color w:val="000000" w:themeColor="text1"/>
              </w:rPr>
              <w:t>No</w:t>
            </w:r>
            <w:proofErr w:type="spellEnd"/>
            <w:r w:rsidRPr="00695123">
              <w:rPr>
                <w:color w:val="000000" w:themeColor="text1"/>
              </w:rPr>
              <w:t xml:space="preserve"> Trouble </w:t>
            </w:r>
            <w:proofErr w:type="spellStart"/>
            <w:r w:rsidRPr="00695123">
              <w:rPr>
                <w:color w:val="000000" w:themeColor="text1"/>
              </w:rPr>
              <w:t>Found</w:t>
            </w:r>
            <w:proofErr w:type="spellEnd"/>
            <w:r w:rsidRPr="00695123">
              <w:rPr>
                <w:color w:val="000000" w:themeColor="text1"/>
              </w:rPr>
              <w:t xml:space="preserve">), sind die entsprechenden Maßnahmen gemäß </w:t>
            </w:r>
            <w:proofErr w:type="gramStart"/>
            <w:r w:rsidRPr="00695123">
              <w:rPr>
                <w:color w:val="000000" w:themeColor="text1"/>
              </w:rPr>
              <w:t>VDA Band</w:t>
            </w:r>
            <w:proofErr w:type="gramEnd"/>
            <w:r w:rsidRPr="00695123">
              <w:rPr>
                <w:color w:val="000000" w:themeColor="text1"/>
              </w:rPr>
              <w:t xml:space="preserve"> „</w:t>
            </w:r>
            <w:proofErr w:type="spellStart"/>
            <w:r w:rsidR="00041BB2" w:rsidRPr="00695123">
              <w:rPr>
                <w:color w:val="000000" w:themeColor="text1"/>
              </w:rPr>
              <w:t>Schadteilanalyse_Feld</w:t>
            </w:r>
            <w:proofErr w:type="spellEnd"/>
            <w:r w:rsidR="00041BB2" w:rsidRPr="00695123">
              <w:rPr>
                <w:color w:val="000000" w:themeColor="text1"/>
              </w:rPr>
              <w:t xml:space="preserve"> &amp; Auditstandard</w:t>
            </w:r>
            <w:r w:rsidR="00F84496" w:rsidRPr="00695123">
              <w:rPr>
                <w:color w:val="000000" w:themeColor="text1"/>
              </w:rPr>
              <w:t>, und CSR</w:t>
            </w:r>
            <w:r w:rsidRPr="00695123">
              <w:rPr>
                <w:color w:val="000000" w:themeColor="text1"/>
              </w:rPr>
              <w:t>“ anzuwenden</w:t>
            </w:r>
          </w:p>
          <w:p w14:paraId="33247468" w14:textId="04D38336" w:rsidR="00994AAD" w:rsidRPr="00695123" w:rsidRDefault="00994AAD" w:rsidP="003B2010">
            <w:pPr>
              <w:pStyle w:val="StandardDEEN"/>
              <w:rPr>
                <w:color w:val="000000" w:themeColor="text1"/>
              </w:rPr>
            </w:pPr>
            <w:r w:rsidRPr="00695123">
              <w:rPr>
                <w:color w:val="000000" w:themeColor="text1"/>
              </w:rPr>
              <w:t>Kayser behält sich das Eigentumsrecht an allen Waren vor, die zur Analyse zurückgesendet werden. Sind zerstörende Prüfungen zur Bestimmung der Fehlerursache erforderlich, ist Kayser vor Beginn der Prüfungen zu informieren. Die Zerstörung jeglicher zur Analyse zurückgesendeter Teile ist ohne vorherige schriftliche Erlaubnis von Kayser strengstens verboten. Bei Reklamationen, wo die Verantwortung für den Fehler nicht eindeutig zuzuordnen oder Gegenstand eines Widerspruchs ist, müssen die betroffenen Waren, sofern nicht anderweitig schriftlich vereinbart, zur weiteren Aufbewahrung an Kayser zurückgesendet werden</w:t>
            </w:r>
          </w:p>
          <w:p w14:paraId="203FB480" w14:textId="5BF0D864" w:rsidR="00994AAD" w:rsidRPr="00695123" w:rsidRDefault="00994AAD" w:rsidP="003B2010">
            <w:pPr>
              <w:pStyle w:val="StandardDEEN"/>
              <w:rPr>
                <w:color w:val="000000" w:themeColor="text1"/>
              </w:rPr>
            </w:pPr>
          </w:p>
        </w:tc>
        <w:tc>
          <w:tcPr>
            <w:tcW w:w="4934" w:type="dxa"/>
            <w:tcBorders>
              <w:top w:val="nil"/>
              <w:left w:val="nil"/>
              <w:bottom w:val="nil"/>
              <w:right w:val="nil"/>
            </w:tcBorders>
          </w:tcPr>
          <w:p w14:paraId="46FC4719" w14:textId="399EEAFA" w:rsidR="001954AE" w:rsidRPr="00695123" w:rsidRDefault="001954AE" w:rsidP="00AB30AD">
            <w:pPr>
              <w:pStyle w:val="berschriftEN1"/>
              <w:numPr>
                <w:ilvl w:val="0"/>
                <w:numId w:val="0"/>
              </w:numPr>
              <w:rPr>
                <w:color w:val="000000" w:themeColor="text1"/>
                <w:lang w:val="en-US"/>
              </w:rPr>
            </w:pPr>
            <w:bookmarkStart w:id="50" w:name="_Toc492550472"/>
            <w:bookmarkStart w:id="51" w:name="_Toc492643828"/>
            <w:r w:rsidRPr="00695123">
              <w:rPr>
                <w:color w:val="000000" w:themeColor="text1"/>
                <w:lang w:val="en-US"/>
              </w:rPr>
              <w:t>§ 1</w:t>
            </w:r>
            <w:r w:rsidR="00C80337" w:rsidRPr="00695123">
              <w:rPr>
                <w:color w:val="000000" w:themeColor="text1"/>
                <w:lang w:val="en-US"/>
              </w:rPr>
              <w:t>9</w:t>
            </w:r>
            <w:r w:rsidRPr="00695123">
              <w:rPr>
                <w:color w:val="000000" w:themeColor="text1"/>
                <w:lang w:val="en-US"/>
              </w:rPr>
              <w:t>. Complaints management</w:t>
            </w:r>
            <w:bookmarkEnd w:id="50"/>
            <w:bookmarkEnd w:id="51"/>
          </w:p>
          <w:p w14:paraId="5740778D" w14:textId="352D7455" w:rsidR="001954AE" w:rsidRPr="00695123" w:rsidRDefault="001954AE" w:rsidP="00AE7C6D">
            <w:pPr>
              <w:pStyle w:val="StandardDEEN"/>
              <w:rPr>
                <w:color w:val="000000" w:themeColor="text1"/>
                <w:lang w:val="en-US"/>
              </w:rPr>
            </w:pPr>
            <w:r w:rsidRPr="00695123">
              <w:rPr>
                <w:color w:val="000000" w:themeColor="text1"/>
                <w:lang w:val="en-GB"/>
              </w:rPr>
              <w:t>If the supplied products deviate from the desired specification</w:t>
            </w:r>
            <w:r w:rsidR="0078195B" w:rsidRPr="00695123">
              <w:rPr>
                <w:color w:val="000000" w:themeColor="text1"/>
                <w:lang w:val="en-GB"/>
              </w:rPr>
              <w:t xml:space="preserve">, statutory requirements </w:t>
            </w:r>
            <w:r w:rsidRPr="00695123">
              <w:rPr>
                <w:color w:val="000000" w:themeColor="text1"/>
                <w:lang w:val="en-GB"/>
              </w:rPr>
              <w:t>or requirements of KAYSER AUTOMOTIVE, a supplier complaint shall be triggered and sent to the Supplier</w:t>
            </w:r>
            <w:r w:rsidR="00B975F1" w:rsidRPr="00695123">
              <w:rPr>
                <w:color w:val="000000" w:themeColor="text1"/>
                <w:lang w:val="en-GB"/>
              </w:rPr>
              <w:t xml:space="preserve">. </w:t>
            </w:r>
            <w:r w:rsidRPr="00695123">
              <w:rPr>
                <w:color w:val="000000" w:themeColor="text1"/>
                <w:lang w:val="en-US"/>
              </w:rPr>
              <w:t>The Supplier must respond to the complaint using the 8</w:t>
            </w:r>
            <w:r w:rsidRPr="00695123">
              <w:rPr>
                <w:color w:val="000000" w:themeColor="text1"/>
                <w:lang w:val="en-GB"/>
              </w:rPr>
              <w:t xml:space="preserve">-D method </w:t>
            </w:r>
            <w:r w:rsidR="009475B9" w:rsidRPr="00695123">
              <w:rPr>
                <w:color w:val="000000" w:themeColor="text1"/>
                <w:lang w:val="en"/>
              </w:rPr>
              <w:t>in compliance with the following timelines</w:t>
            </w:r>
          </w:p>
          <w:p w14:paraId="5F374485" w14:textId="77777777" w:rsidR="00AB30AD" w:rsidRPr="00695123" w:rsidRDefault="00AB30AD" w:rsidP="00AB30AD">
            <w:pPr>
              <w:pStyle w:val="StandardDEEN"/>
              <w:spacing w:before="0"/>
              <w:rPr>
                <w:color w:val="000000" w:themeColor="text1"/>
                <w:lang w:val="en-GB"/>
              </w:rPr>
            </w:pPr>
          </w:p>
          <w:p w14:paraId="664C9C86" w14:textId="77777777" w:rsidR="001954AE" w:rsidRPr="00695123" w:rsidRDefault="001954AE" w:rsidP="00410CB0">
            <w:pPr>
              <w:pStyle w:val="StandardDEEN"/>
              <w:numPr>
                <w:ilvl w:val="0"/>
                <w:numId w:val="8"/>
              </w:numPr>
              <w:rPr>
                <w:color w:val="000000" w:themeColor="text1"/>
              </w:rPr>
            </w:pPr>
            <w:proofErr w:type="spellStart"/>
            <w:r w:rsidRPr="00695123">
              <w:rPr>
                <w:color w:val="000000" w:themeColor="text1"/>
              </w:rPr>
              <w:t>Within</w:t>
            </w:r>
            <w:proofErr w:type="spellEnd"/>
            <w:r w:rsidRPr="00695123">
              <w:rPr>
                <w:color w:val="000000" w:themeColor="text1"/>
              </w:rPr>
              <w:t xml:space="preserve"> 24 </w:t>
            </w:r>
            <w:proofErr w:type="spellStart"/>
            <w:r w:rsidRPr="00695123">
              <w:rPr>
                <w:color w:val="000000" w:themeColor="text1"/>
              </w:rPr>
              <w:t>hours</w:t>
            </w:r>
            <w:proofErr w:type="spellEnd"/>
            <w:r w:rsidRPr="00695123">
              <w:rPr>
                <w:color w:val="000000" w:themeColor="text1"/>
              </w:rPr>
              <w:t>:</w:t>
            </w:r>
          </w:p>
          <w:p w14:paraId="2736DB88" w14:textId="77777777" w:rsidR="00793E59" w:rsidRPr="00695123" w:rsidRDefault="001954AE" w:rsidP="00410CB0">
            <w:pPr>
              <w:pStyle w:val="StandardDEEN"/>
              <w:numPr>
                <w:ilvl w:val="1"/>
                <w:numId w:val="8"/>
              </w:numPr>
              <w:spacing w:before="0"/>
              <w:ind w:left="1206" w:hanging="425"/>
              <w:rPr>
                <w:color w:val="000000" w:themeColor="text1"/>
                <w:lang w:val="en-US"/>
              </w:rPr>
            </w:pPr>
            <w:proofErr w:type="spellStart"/>
            <w:r w:rsidRPr="00695123">
              <w:rPr>
                <w:color w:val="000000" w:themeColor="text1"/>
              </w:rPr>
              <w:t>Detailed</w:t>
            </w:r>
            <w:proofErr w:type="spellEnd"/>
            <w:r w:rsidRPr="00695123">
              <w:rPr>
                <w:color w:val="000000" w:themeColor="text1"/>
              </w:rPr>
              <w:t xml:space="preserve"> </w:t>
            </w:r>
            <w:proofErr w:type="spellStart"/>
            <w:r w:rsidRPr="00695123">
              <w:rPr>
                <w:color w:val="000000" w:themeColor="text1"/>
              </w:rPr>
              <w:t>problem</w:t>
            </w:r>
            <w:proofErr w:type="spellEnd"/>
            <w:r w:rsidRPr="00695123">
              <w:rPr>
                <w:color w:val="000000" w:themeColor="text1"/>
              </w:rPr>
              <w:t xml:space="preserve"> </w:t>
            </w:r>
            <w:proofErr w:type="spellStart"/>
            <w:r w:rsidRPr="00695123">
              <w:rPr>
                <w:color w:val="000000" w:themeColor="text1"/>
              </w:rPr>
              <w:t>description</w:t>
            </w:r>
            <w:proofErr w:type="spellEnd"/>
            <w:r w:rsidRPr="00695123">
              <w:rPr>
                <w:color w:val="000000" w:themeColor="text1"/>
              </w:rPr>
              <w:t xml:space="preserve">. </w:t>
            </w:r>
          </w:p>
          <w:p w14:paraId="2036410C" w14:textId="071E3EBE" w:rsidR="001954AE" w:rsidRPr="00695123" w:rsidRDefault="001954AE" w:rsidP="00410CB0">
            <w:pPr>
              <w:pStyle w:val="StandardDEEN"/>
              <w:numPr>
                <w:ilvl w:val="1"/>
                <w:numId w:val="8"/>
              </w:numPr>
              <w:spacing w:before="0"/>
              <w:ind w:left="1206" w:hanging="425"/>
              <w:rPr>
                <w:color w:val="000000" w:themeColor="text1"/>
                <w:lang w:val="en-US"/>
              </w:rPr>
            </w:pPr>
            <w:r w:rsidRPr="00695123">
              <w:rPr>
                <w:color w:val="000000" w:themeColor="text1"/>
                <w:lang w:val="en-US"/>
              </w:rPr>
              <w:t xml:space="preserve">The problem has been understood and the problem </w:t>
            </w:r>
            <w:r w:rsidR="00001AB7" w:rsidRPr="00695123">
              <w:rPr>
                <w:color w:val="000000" w:themeColor="text1"/>
                <w:lang w:val="en-US"/>
              </w:rPr>
              <w:t>solving was initiated</w:t>
            </w:r>
            <w:r w:rsidRPr="00695123">
              <w:rPr>
                <w:color w:val="000000" w:themeColor="text1"/>
                <w:lang w:val="en-US"/>
              </w:rPr>
              <w:t>.</w:t>
            </w:r>
          </w:p>
          <w:p w14:paraId="5C6A3FFA" w14:textId="5E98EEE6" w:rsidR="001954AE" w:rsidRPr="00695123" w:rsidRDefault="009475B9" w:rsidP="00410CB0">
            <w:pPr>
              <w:pStyle w:val="StandardDEEN"/>
              <w:numPr>
                <w:ilvl w:val="1"/>
                <w:numId w:val="8"/>
              </w:numPr>
              <w:spacing w:before="0"/>
              <w:ind w:left="1206" w:hanging="425"/>
              <w:rPr>
                <w:color w:val="000000" w:themeColor="text1"/>
                <w:lang w:val="en-US"/>
              </w:rPr>
            </w:pPr>
            <w:r w:rsidRPr="00695123">
              <w:rPr>
                <w:color w:val="000000" w:themeColor="text1"/>
                <w:lang w:val="en-US"/>
              </w:rPr>
              <w:t xml:space="preserve">Containment </w:t>
            </w:r>
            <w:proofErr w:type="gramStart"/>
            <w:r w:rsidRPr="00695123">
              <w:rPr>
                <w:color w:val="000000" w:themeColor="text1"/>
                <w:lang w:val="en-US"/>
              </w:rPr>
              <w:t xml:space="preserve">actions  </w:t>
            </w:r>
            <w:r w:rsidR="001954AE" w:rsidRPr="00695123">
              <w:rPr>
                <w:color w:val="000000" w:themeColor="text1"/>
                <w:lang w:val="en-US"/>
              </w:rPr>
              <w:t>have</w:t>
            </w:r>
            <w:proofErr w:type="gramEnd"/>
            <w:r w:rsidR="001954AE" w:rsidRPr="00695123">
              <w:rPr>
                <w:color w:val="000000" w:themeColor="text1"/>
                <w:lang w:val="en-US"/>
              </w:rPr>
              <w:t xml:space="preserve"> been taken.</w:t>
            </w:r>
          </w:p>
          <w:p w14:paraId="732532C2" w14:textId="14160F10" w:rsidR="001954AE" w:rsidRPr="00695123" w:rsidRDefault="001954AE" w:rsidP="00410CB0">
            <w:pPr>
              <w:pStyle w:val="StandardDEEN"/>
              <w:numPr>
                <w:ilvl w:val="0"/>
                <w:numId w:val="8"/>
              </w:numPr>
              <w:rPr>
                <w:color w:val="000000" w:themeColor="text1"/>
              </w:rPr>
            </w:pPr>
            <w:proofErr w:type="spellStart"/>
            <w:r w:rsidRPr="00695123">
              <w:rPr>
                <w:color w:val="000000" w:themeColor="text1"/>
              </w:rPr>
              <w:t>Within</w:t>
            </w:r>
            <w:proofErr w:type="spellEnd"/>
            <w:r w:rsidRPr="00695123">
              <w:rPr>
                <w:color w:val="000000" w:themeColor="text1"/>
              </w:rPr>
              <w:t xml:space="preserve"> </w:t>
            </w:r>
            <w:r w:rsidR="001D3C28" w:rsidRPr="00695123">
              <w:rPr>
                <w:color w:val="000000" w:themeColor="text1"/>
              </w:rPr>
              <w:t>10</w:t>
            </w:r>
            <w:r w:rsidRPr="00695123">
              <w:rPr>
                <w:color w:val="000000" w:themeColor="text1"/>
              </w:rPr>
              <w:t xml:space="preserve"> </w:t>
            </w:r>
            <w:proofErr w:type="spellStart"/>
            <w:r w:rsidRPr="00695123">
              <w:rPr>
                <w:color w:val="000000" w:themeColor="text1"/>
              </w:rPr>
              <w:t>working</w:t>
            </w:r>
            <w:proofErr w:type="spellEnd"/>
            <w:r w:rsidRPr="00695123">
              <w:rPr>
                <w:color w:val="000000" w:themeColor="text1"/>
              </w:rPr>
              <w:t xml:space="preserve"> </w:t>
            </w:r>
            <w:proofErr w:type="spellStart"/>
            <w:r w:rsidRPr="00695123">
              <w:rPr>
                <w:color w:val="000000" w:themeColor="text1"/>
              </w:rPr>
              <w:t>days</w:t>
            </w:r>
            <w:proofErr w:type="spellEnd"/>
            <w:r w:rsidRPr="00695123">
              <w:rPr>
                <w:color w:val="000000" w:themeColor="text1"/>
              </w:rPr>
              <w:t>:</w:t>
            </w:r>
          </w:p>
          <w:p w14:paraId="75192D9E" w14:textId="1A9A864D" w:rsidR="001954AE" w:rsidRPr="00695123" w:rsidRDefault="001954AE" w:rsidP="00410CB0">
            <w:pPr>
              <w:pStyle w:val="StandardDEEN"/>
              <w:numPr>
                <w:ilvl w:val="1"/>
                <w:numId w:val="8"/>
              </w:numPr>
              <w:spacing w:before="0"/>
              <w:ind w:left="1206" w:hanging="425"/>
              <w:rPr>
                <w:color w:val="000000" w:themeColor="text1"/>
                <w:lang w:val="en-US"/>
              </w:rPr>
            </w:pPr>
            <w:r w:rsidRPr="00695123">
              <w:rPr>
                <w:color w:val="000000" w:themeColor="text1"/>
                <w:lang w:val="en-US"/>
              </w:rPr>
              <w:t>Cause analysis with respect to</w:t>
            </w:r>
            <w:r w:rsidR="00261FBA" w:rsidRPr="00695123">
              <w:rPr>
                <w:color w:val="000000" w:themeColor="text1"/>
                <w:lang w:val="en-US"/>
              </w:rPr>
              <w:t xml:space="preserve"> “</w:t>
            </w:r>
            <w:r w:rsidR="00CC2581" w:rsidRPr="00695123">
              <w:rPr>
                <w:color w:val="000000" w:themeColor="text1"/>
                <w:lang w:val="en-US"/>
              </w:rPr>
              <w:t>non-</w:t>
            </w:r>
            <w:r w:rsidR="00261FBA" w:rsidRPr="00695123">
              <w:rPr>
                <w:color w:val="000000" w:themeColor="text1"/>
                <w:lang w:val="en-US"/>
              </w:rPr>
              <w:t>detection”.</w:t>
            </w:r>
          </w:p>
          <w:p w14:paraId="61F7EB07" w14:textId="77777777" w:rsidR="001954AE" w:rsidRPr="00695123" w:rsidRDefault="001954AE" w:rsidP="00410CB0">
            <w:pPr>
              <w:pStyle w:val="StandardDEEN"/>
              <w:numPr>
                <w:ilvl w:val="1"/>
                <w:numId w:val="8"/>
              </w:numPr>
              <w:spacing w:before="0"/>
              <w:ind w:left="1206" w:hanging="425"/>
              <w:rPr>
                <w:color w:val="000000" w:themeColor="text1"/>
                <w:lang w:val="en-US"/>
              </w:rPr>
            </w:pPr>
            <w:r w:rsidRPr="00695123">
              <w:rPr>
                <w:color w:val="000000" w:themeColor="text1"/>
                <w:lang w:val="en-US"/>
              </w:rPr>
              <w:t>Cause analysis with respect to “occurrence”.</w:t>
            </w:r>
          </w:p>
          <w:p w14:paraId="7F004348" w14:textId="21207612" w:rsidR="001954AE" w:rsidRPr="00695123" w:rsidRDefault="001954AE" w:rsidP="00410CB0">
            <w:pPr>
              <w:pStyle w:val="StandardDEEN"/>
              <w:numPr>
                <w:ilvl w:val="1"/>
                <w:numId w:val="8"/>
              </w:numPr>
              <w:spacing w:before="0"/>
              <w:ind w:left="1206" w:hanging="425"/>
              <w:rPr>
                <w:color w:val="000000" w:themeColor="text1"/>
                <w:lang w:val="en-US"/>
              </w:rPr>
            </w:pPr>
            <w:r w:rsidRPr="00695123">
              <w:rPr>
                <w:color w:val="000000" w:themeColor="text1"/>
                <w:lang w:val="en-US"/>
              </w:rPr>
              <w:t>Definition of</w:t>
            </w:r>
            <w:r w:rsidR="00086DD7" w:rsidRPr="00695123">
              <w:rPr>
                <w:color w:val="000000" w:themeColor="text1"/>
                <w:lang w:val="en-US"/>
              </w:rPr>
              <w:t xml:space="preserve"> corrective actions</w:t>
            </w:r>
            <w:r w:rsidRPr="00695123">
              <w:rPr>
                <w:color w:val="000000" w:themeColor="text1"/>
                <w:lang w:val="en-US"/>
              </w:rPr>
              <w:t xml:space="preserve"> </w:t>
            </w:r>
            <w:proofErr w:type="gramStart"/>
            <w:r w:rsidRPr="00695123">
              <w:rPr>
                <w:color w:val="000000" w:themeColor="text1"/>
                <w:lang w:val="en-US"/>
              </w:rPr>
              <w:t>in order to</w:t>
            </w:r>
            <w:proofErr w:type="gramEnd"/>
            <w:r w:rsidRPr="00695123">
              <w:rPr>
                <w:color w:val="000000" w:themeColor="text1"/>
                <w:lang w:val="en-US"/>
              </w:rPr>
              <w:t xml:space="preserve"> eliminate the cause</w:t>
            </w:r>
            <w:r w:rsidR="00086DD7" w:rsidRPr="00695123">
              <w:rPr>
                <w:color w:val="000000" w:themeColor="text1"/>
                <w:lang w:val="en-US"/>
              </w:rPr>
              <w:t>s</w:t>
            </w:r>
            <w:r w:rsidRPr="00695123">
              <w:rPr>
                <w:color w:val="000000" w:themeColor="text1"/>
                <w:lang w:val="en-US"/>
              </w:rPr>
              <w:t>.</w:t>
            </w:r>
          </w:p>
          <w:p w14:paraId="30CE883C" w14:textId="77777777" w:rsidR="0020670C" w:rsidRPr="00695123" w:rsidRDefault="0020670C" w:rsidP="004F58E2">
            <w:pPr>
              <w:pStyle w:val="StandardDEEN"/>
              <w:spacing w:before="0"/>
              <w:rPr>
                <w:color w:val="000000" w:themeColor="text1"/>
                <w:lang w:val="en-US"/>
              </w:rPr>
            </w:pPr>
          </w:p>
          <w:p w14:paraId="73BDA315" w14:textId="0D390A6D" w:rsidR="00CC2581" w:rsidRPr="00695123" w:rsidRDefault="001954AE" w:rsidP="00D04C57">
            <w:pPr>
              <w:pStyle w:val="StandardDEEN"/>
              <w:numPr>
                <w:ilvl w:val="0"/>
                <w:numId w:val="8"/>
              </w:numPr>
              <w:rPr>
                <w:color w:val="000000" w:themeColor="text1"/>
                <w:lang w:val="en-GB"/>
              </w:rPr>
            </w:pPr>
            <w:r w:rsidRPr="00695123">
              <w:rPr>
                <w:color w:val="000000" w:themeColor="text1"/>
                <w:lang w:val="en-GB"/>
              </w:rPr>
              <w:t>Within 30 working days:</w:t>
            </w:r>
          </w:p>
          <w:p w14:paraId="1BACA728" w14:textId="5ED8E7FE" w:rsidR="001954AE" w:rsidRPr="00695123" w:rsidRDefault="001954AE" w:rsidP="00410CB0">
            <w:pPr>
              <w:pStyle w:val="StandardDEEN"/>
              <w:numPr>
                <w:ilvl w:val="1"/>
                <w:numId w:val="8"/>
              </w:numPr>
              <w:spacing w:before="0"/>
              <w:ind w:left="1206" w:hanging="425"/>
              <w:rPr>
                <w:strike/>
                <w:color w:val="000000" w:themeColor="text1"/>
                <w:lang w:val="en-US"/>
              </w:rPr>
            </w:pPr>
            <w:r w:rsidRPr="00695123">
              <w:rPr>
                <w:color w:val="000000" w:themeColor="text1"/>
                <w:lang w:val="en-US"/>
              </w:rPr>
              <w:t>Confirmation of the</w:t>
            </w:r>
            <w:r w:rsidR="00892C6F" w:rsidRPr="00695123">
              <w:rPr>
                <w:color w:val="000000" w:themeColor="text1"/>
                <w:lang w:val="en-US"/>
              </w:rPr>
              <w:t xml:space="preserve"> implementation of corrective actions</w:t>
            </w:r>
            <w:r w:rsidRPr="00695123">
              <w:rPr>
                <w:strike/>
                <w:color w:val="000000" w:themeColor="text1"/>
                <w:lang w:val="en-US"/>
              </w:rPr>
              <w:t xml:space="preserve"> </w:t>
            </w:r>
          </w:p>
          <w:p w14:paraId="4C246CB2" w14:textId="5B28A4A4" w:rsidR="00D023B7" w:rsidRPr="00695123" w:rsidRDefault="001954AE" w:rsidP="00410CB0">
            <w:pPr>
              <w:pStyle w:val="StandardDEEN"/>
              <w:numPr>
                <w:ilvl w:val="1"/>
                <w:numId w:val="8"/>
              </w:numPr>
              <w:spacing w:before="0"/>
              <w:ind w:left="1206" w:hanging="425"/>
              <w:rPr>
                <w:color w:val="000000" w:themeColor="text1"/>
                <w:lang w:val="en-US"/>
              </w:rPr>
            </w:pPr>
            <w:r w:rsidRPr="00695123">
              <w:rPr>
                <w:color w:val="000000" w:themeColor="text1"/>
                <w:lang w:val="en-US"/>
              </w:rPr>
              <w:t>Definition o</w:t>
            </w:r>
            <w:r w:rsidR="00AB30AD" w:rsidRPr="00695123">
              <w:rPr>
                <w:color w:val="000000" w:themeColor="text1"/>
                <w:lang w:val="en-US"/>
              </w:rPr>
              <w:t>f</w:t>
            </w:r>
            <w:r w:rsidR="00892C6F" w:rsidRPr="00695123">
              <w:rPr>
                <w:color w:val="000000" w:themeColor="text1"/>
                <w:lang w:val="en-US"/>
              </w:rPr>
              <w:t xml:space="preserve"> preventive actions</w:t>
            </w:r>
            <w:r w:rsidR="00D023B7" w:rsidRPr="00695123">
              <w:rPr>
                <w:strike/>
                <w:color w:val="000000" w:themeColor="text1"/>
                <w:lang w:val="en-US"/>
              </w:rPr>
              <w:br/>
            </w:r>
          </w:p>
          <w:p w14:paraId="4F135854" w14:textId="77777777" w:rsidR="00EF662D" w:rsidRPr="00695123" w:rsidRDefault="00EF662D" w:rsidP="00EF662D">
            <w:pPr>
              <w:pStyle w:val="StandardDEEN"/>
              <w:spacing w:before="0"/>
              <w:ind w:left="1206"/>
              <w:rPr>
                <w:color w:val="000000" w:themeColor="text1"/>
                <w:lang w:val="en-US"/>
              </w:rPr>
            </w:pPr>
          </w:p>
          <w:p w14:paraId="1062EF11" w14:textId="77777777" w:rsidR="004F58E2" w:rsidRPr="00695123" w:rsidRDefault="004F58E2" w:rsidP="00EF662D">
            <w:pPr>
              <w:pStyle w:val="StandardDEEN"/>
              <w:spacing w:before="0"/>
              <w:ind w:left="1206"/>
              <w:rPr>
                <w:color w:val="000000" w:themeColor="text1"/>
                <w:lang w:val="en-US"/>
              </w:rPr>
            </w:pPr>
          </w:p>
          <w:p w14:paraId="18FC5C26" w14:textId="22204C86" w:rsidR="009475B9" w:rsidRPr="00695123" w:rsidRDefault="009475B9" w:rsidP="00D023B7">
            <w:pPr>
              <w:pStyle w:val="StandardDEEN"/>
              <w:spacing w:before="0"/>
              <w:rPr>
                <w:color w:val="000000" w:themeColor="text1"/>
                <w:lang w:val="en-US"/>
              </w:rPr>
            </w:pPr>
            <w:r w:rsidRPr="00695123">
              <w:rPr>
                <w:color w:val="000000" w:themeColor="text1"/>
                <w:lang w:val="en"/>
              </w:rPr>
              <w:t>If applicable: different requirements, e.g. due to customer requirements, will be communicated in the complaint letter.</w:t>
            </w:r>
          </w:p>
          <w:p w14:paraId="367E24C3" w14:textId="7A97B6F6" w:rsidR="000337CE" w:rsidRPr="00695123" w:rsidRDefault="000337CE" w:rsidP="009475B9">
            <w:pPr>
              <w:pStyle w:val="StandardDEEN"/>
              <w:rPr>
                <w:color w:val="000000" w:themeColor="text1"/>
                <w:lang w:val="en-US"/>
              </w:rPr>
            </w:pPr>
            <w:r w:rsidRPr="00695123">
              <w:rPr>
                <w:color w:val="000000" w:themeColor="text1"/>
                <w:lang w:val="en-US"/>
              </w:rPr>
              <w:t>You will be invoiced separately for the actual complaint costs incurred.</w:t>
            </w:r>
          </w:p>
          <w:p w14:paraId="189652F8" w14:textId="77777777" w:rsidR="009475B9" w:rsidRPr="00695123" w:rsidRDefault="009475B9" w:rsidP="00AB30AD">
            <w:pPr>
              <w:pStyle w:val="StandardDEEN"/>
              <w:spacing w:before="0"/>
              <w:rPr>
                <w:color w:val="000000" w:themeColor="text1"/>
                <w:lang w:val="en-US"/>
              </w:rPr>
            </w:pPr>
          </w:p>
          <w:p w14:paraId="06BB224E" w14:textId="4C0921F2" w:rsidR="00B66316" w:rsidRPr="00695123" w:rsidRDefault="00A24874" w:rsidP="00957768">
            <w:pPr>
              <w:pStyle w:val="StandardDEEN"/>
              <w:spacing w:before="0"/>
              <w:rPr>
                <w:color w:val="000000" w:themeColor="text1"/>
                <w:lang w:val="en-GB"/>
              </w:rPr>
            </w:pPr>
            <w:r w:rsidRPr="00695123">
              <w:rPr>
                <w:color w:val="000000" w:themeColor="text1"/>
                <w:lang w:val="en-US"/>
              </w:rPr>
              <w:t>If these deadlines are not met</w:t>
            </w:r>
            <w:r w:rsidR="001954AE" w:rsidRPr="00695123">
              <w:rPr>
                <w:color w:val="000000" w:themeColor="text1"/>
                <w:lang w:val="en-GB"/>
              </w:rPr>
              <w:t>, this will be reflected negatively in the supplier assessment</w:t>
            </w:r>
            <w:r w:rsidR="00794288" w:rsidRPr="00695123">
              <w:rPr>
                <w:color w:val="000000" w:themeColor="text1"/>
                <w:lang w:val="en-GB"/>
              </w:rPr>
              <w:t xml:space="preserve">. An extension of these deadlines is only possible with appropriate notification and in </w:t>
            </w:r>
            <w:r w:rsidR="002D66CA" w:rsidRPr="00695123">
              <w:rPr>
                <w:color w:val="000000" w:themeColor="text1"/>
                <w:lang w:val="en-US"/>
              </w:rPr>
              <w:t xml:space="preserve">agreement </w:t>
            </w:r>
            <w:r w:rsidR="00794288" w:rsidRPr="00695123">
              <w:rPr>
                <w:color w:val="000000" w:themeColor="text1"/>
                <w:lang w:val="en-GB"/>
              </w:rPr>
              <w:t>with the responsible Kayser specialist.</w:t>
            </w:r>
          </w:p>
          <w:p w14:paraId="541FC53B" w14:textId="77777777" w:rsidR="007C4FFB" w:rsidRPr="00695123" w:rsidRDefault="007C4FFB" w:rsidP="00957768">
            <w:pPr>
              <w:pStyle w:val="StandardDEEN"/>
              <w:spacing w:before="0"/>
              <w:rPr>
                <w:color w:val="000000" w:themeColor="text1"/>
                <w:lang w:val="en-GB"/>
              </w:rPr>
            </w:pPr>
          </w:p>
          <w:p w14:paraId="045D161E" w14:textId="77777777" w:rsidR="00D33EA2" w:rsidRPr="00695123" w:rsidRDefault="00D33EA2" w:rsidP="00957768">
            <w:pPr>
              <w:pStyle w:val="StandardDEEN"/>
              <w:spacing w:before="0"/>
              <w:rPr>
                <w:color w:val="000000" w:themeColor="text1"/>
                <w:lang w:val="en-GB"/>
              </w:rPr>
            </w:pPr>
          </w:p>
          <w:p w14:paraId="254E185D" w14:textId="77777777" w:rsidR="007C4FFB" w:rsidRPr="00695123" w:rsidRDefault="007C4FFB" w:rsidP="00957768">
            <w:pPr>
              <w:pStyle w:val="StandardDEEN"/>
              <w:spacing w:before="0"/>
              <w:rPr>
                <w:color w:val="000000" w:themeColor="text1"/>
                <w:lang w:val="en-GB"/>
              </w:rPr>
            </w:pPr>
            <w:r w:rsidRPr="00695123">
              <w:rPr>
                <w:color w:val="000000" w:themeColor="text1"/>
                <w:lang w:val="en-GB"/>
              </w:rPr>
              <w:t>No Trouble Found-Process (NTF)</w:t>
            </w:r>
          </w:p>
          <w:p w14:paraId="400974BD" w14:textId="77777777" w:rsidR="005919B7" w:rsidRPr="00695123" w:rsidRDefault="005919B7" w:rsidP="005919B7">
            <w:pPr>
              <w:pStyle w:val="StandardDEEN"/>
              <w:rPr>
                <w:color w:val="000000" w:themeColor="text1"/>
                <w:lang w:val="en-GB"/>
              </w:rPr>
            </w:pPr>
            <w:r w:rsidRPr="00695123">
              <w:rPr>
                <w:color w:val="000000" w:themeColor="text1"/>
                <w:lang w:val="en-GB"/>
              </w:rPr>
              <w:t>(IATF</w:t>
            </w:r>
            <w:proofErr w:type="gramStart"/>
            <w:r w:rsidRPr="00695123">
              <w:rPr>
                <w:color w:val="000000" w:themeColor="text1"/>
                <w:lang w:val="en-GB"/>
              </w:rPr>
              <w:t>16949:,</w:t>
            </w:r>
            <w:proofErr w:type="gramEnd"/>
            <w:r w:rsidRPr="00695123">
              <w:rPr>
                <w:color w:val="000000" w:themeColor="text1"/>
                <w:lang w:val="en-GB"/>
              </w:rPr>
              <w:t xml:space="preserve"> customer-specific requirements)</w:t>
            </w:r>
          </w:p>
          <w:p w14:paraId="5CF9FAE8" w14:textId="600B0A30" w:rsidR="004700EF" w:rsidRPr="00695123" w:rsidRDefault="00D023B7" w:rsidP="00D33EA2">
            <w:pPr>
              <w:pStyle w:val="StandardDEEN"/>
              <w:spacing w:before="0"/>
              <w:rPr>
                <w:color w:val="000000" w:themeColor="text1"/>
                <w:lang w:val="en-GB"/>
              </w:rPr>
            </w:pPr>
            <w:r w:rsidRPr="00695123">
              <w:rPr>
                <w:color w:val="000000" w:themeColor="text1"/>
                <w:lang w:val="en-GB"/>
              </w:rPr>
              <w:br/>
            </w:r>
            <w:r w:rsidR="00D55B51" w:rsidRPr="00695123">
              <w:rPr>
                <w:color w:val="000000" w:themeColor="text1"/>
                <w:lang w:val="en-GB"/>
              </w:rPr>
              <w:t xml:space="preserve">In addition to the 8D reports, a method for </w:t>
            </w:r>
            <w:proofErr w:type="spellStart"/>
            <w:r w:rsidR="00D55B51" w:rsidRPr="00695123">
              <w:rPr>
                <w:color w:val="000000" w:themeColor="text1"/>
                <w:lang w:val="en-GB"/>
              </w:rPr>
              <w:t>analyzing</w:t>
            </w:r>
            <w:proofErr w:type="spellEnd"/>
            <w:r w:rsidR="00D55B51" w:rsidRPr="00695123">
              <w:rPr>
                <w:color w:val="000000" w:themeColor="text1"/>
                <w:lang w:val="en-GB"/>
              </w:rPr>
              <w:t xml:space="preserve"> damaged parts that was planned and agreed in advance of the APQP phase / PPAP-agreement must be used for field complaints</w:t>
            </w:r>
            <w:r w:rsidR="00D33EA2" w:rsidRPr="00695123">
              <w:rPr>
                <w:color w:val="000000" w:themeColor="text1"/>
                <w:lang w:val="en-GB"/>
              </w:rPr>
              <w:t>.</w:t>
            </w:r>
          </w:p>
          <w:p w14:paraId="4F8A43E6" w14:textId="73C4B8FF" w:rsidR="00D33EA2" w:rsidRPr="00695123" w:rsidRDefault="00D33EA2" w:rsidP="00D33EA2">
            <w:pPr>
              <w:pStyle w:val="StandardDEEN"/>
              <w:spacing w:before="0"/>
              <w:rPr>
                <w:color w:val="000000" w:themeColor="text1"/>
                <w:lang w:val="en-GB"/>
              </w:rPr>
            </w:pPr>
            <w:r w:rsidRPr="00695123">
              <w:rPr>
                <w:color w:val="000000" w:themeColor="text1"/>
                <w:lang w:val="en-GB"/>
              </w:rPr>
              <w:t xml:space="preserve"> </w:t>
            </w:r>
          </w:p>
          <w:p w14:paraId="1DEE1896" w14:textId="273C367C" w:rsidR="00735A7F" w:rsidRPr="00695123" w:rsidRDefault="00735A7F" w:rsidP="00D33EA2">
            <w:pPr>
              <w:pStyle w:val="StandardDEEN"/>
              <w:spacing w:before="0"/>
              <w:rPr>
                <w:color w:val="000000" w:themeColor="text1"/>
                <w:lang w:val="en-GB"/>
              </w:rPr>
            </w:pPr>
            <w:r w:rsidRPr="00695123">
              <w:rPr>
                <w:color w:val="000000" w:themeColor="text1"/>
                <w:lang w:val="en-GB"/>
              </w:rPr>
              <w:t>The defect analyse process including a no-trouble-found process and a diagnosis of the parts returned from the markets. Problem-solving approaches and corrective measures must be initiated or implemented to prevent recurrence of the defect. The supplier must communicate the results of these analyses, findings and measures both internally and to KAYSER</w:t>
            </w:r>
          </w:p>
          <w:p w14:paraId="4F9F7ABB" w14:textId="77777777" w:rsidR="00CD1909" w:rsidRPr="00695123" w:rsidRDefault="00CD1909" w:rsidP="00D33EA2">
            <w:pPr>
              <w:pStyle w:val="StandardDEEN"/>
              <w:spacing w:before="0"/>
              <w:rPr>
                <w:color w:val="000000" w:themeColor="text1"/>
                <w:lang w:val="en-GB"/>
              </w:rPr>
            </w:pPr>
          </w:p>
          <w:p w14:paraId="547FA6E8" w14:textId="77777777" w:rsidR="00CD1909" w:rsidRPr="00695123" w:rsidRDefault="00CD1909" w:rsidP="00D33EA2">
            <w:pPr>
              <w:pStyle w:val="StandardDEEN"/>
              <w:spacing w:before="0"/>
              <w:rPr>
                <w:color w:val="000000" w:themeColor="text1"/>
                <w:lang w:val="en-GB"/>
              </w:rPr>
            </w:pPr>
          </w:p>
          <w:p w14:paraId="1D73478A" w14:textId="228A0E76" w:rsidR="00F84496" w:rsidRPr="00695123" w:rsidRDefault="00F84496" w:rsidP="00D33EA2">
            <w:pPr>
              <w:pStyle w:val="StandardDEEN"/>
              <w:spacing w:before="0"/>
              <w:rPr>
                <w:color w:val="000000" w:themeColor="text1"/>
                <w:lang w:val="en-US"/>
              </w:rPr>
            </w:pPr>
            <w:r w:rsidRPr="00695123">
              <w:rPr>
                <w:color w:val="000000" w:themeColor="text1"/>
                <w:lang w:val="en-US"/>
              </w:rPr>
              <w:t>In the case of components for which no faults were found in the investigation process (NTF - No Trouble Found), measures shall be applied according to the VDA “</w:t>
            </w:r>
            <w:r w:rsidR="00AF52EA" w:rsidRPr="00695123">
              <w:rPr>
                <w:color w:val="000000" w:themeColor="text1"/>
                <w:lang w:val="en-US"/>
              </w:rPr>
              <w:t>Field Failure Analysis &amp; Audit Standard</w:t>
            </w:r>
            <w:r w:rsidR="00735A7F" w:rsidRPr="00695123">
              <w:rPr>
                <w:color w:val="000000" w:themeColor="text1"/>
                <w:lang w:val="en-US"/>
              </w:rPr>
              <w:t>, and CSR.”</w:t>
            </w:r>
          </w:p>
          <w:p w14:paraId="34611D39" w14:textId="77777777" w:rsidR="00994AAD" w:rsidRPr="00695123" w:rsidRDefault="00994AAD" w:rsidP="00D33EA2">
            <w:pPr>
              <w:pStyle w:val="StandardDEEN"/>
              <w:spacing w:before="0"/>
              <w:rPr>
                <w:color w:val="000000" w:themeColor="text1"/>
                <w:lang w:val="en-US"/>
              </w:rPr>
            </w:pPr>
          </w:p>
          <w:p w14:paraId="122EBF24" w14:textId="1C0434AD" w:rsidR="00994AAD" w:rsidRPr="00695123" w:rsidRDefault="00994AAD" w:rsidP="00D33EA2">
            <w:pPr>
              <w:pStyle w:val="StandardDEEN"/>
              <w:spacing w:before="0"/>
              <w:rPr>
                <w:color w:val="000000" w:themeColor="text1"/>
                <w:lang w:val="en-US"/>
              </w:rPr>
            </w:pPr>
            <w:r w:rsidRPr="00695123">
              <w:rPr>
                <w:color w:val="000000" w:themeColor="text1"/>
                <w:lang w:val="en-US"/>
              </w:rPr>
              <w:t>Kayser retains ownership rights of all material returned for analysis. If destructive testing is required to determine root causes, Kayser shall be notified prior to the testing process. The destruction of any part returned for analysis without written permission from Kayser is strictly forbidden. Material associated with a complaint, wherein responsibility of failure is indeterminate or disputed, shall be returned to Kayser for retention unless otherwise agreed in writing.</w:t>
            </w:r>
          </w:p>
          <w:p w14:paraId="610F4E4E" w14:textId="582D465A" w:rsidR="005919B7" w:rsidRPr="00695123" w:rsidRDefault="005919B7" w:rsidP="00D33EA2">
            <w:pPr>
              <w:pStyle w:val="StandardDEEN"/>
              <w:spacing w:before="0"/>
              <w:rPr>
                <w:color w:val="000000" w:themeColor="text1"/>
                <w:lang w:val="en-GB"/>
              </w:rPr>
            </w:pPr>
          </w:p>
        </w:tc>
      </w:tr>
      <w:tr w:rsidR="00695123" w:rsidRPr="00695123" w14:paraId="6E8E9117" w14:textId="77777777" w:rsidTr="00AD39CE">
        <w:tc>
          <w:tcPr>
            <w:tcW w:w="4988" w:type="dxa"/>
            <w:tcBorders>
              <w:top w:val="nil"/>
              <w:left w:val="nil"/>
              <w:bottom w:val="nil"/>
              <w:right w:val="nil"/>
            </w:tcBorders>
          </w:tcPr>
          <w:p w14:paraId="4B2DCEDB" w14:textId="5D18DB98" w:rsidR="0057796A" w:rsidRPr="00695123" w:rsidRDefault="0057796A" w:rsidP="00B7318F">
            <w:pPr>
              <w:pStyle w:val="berschrift1"/>
              <w:numPr>
                <w:ilvl w:val="0"/>
                <w:numId w:val="0"/>
              </w:numPr>
              <w:ind w:left="737" w:hanging="737"/>
            </w:pPr>
            <w:bookmarkStart w:id="52" w:name="_Toc492627352"/>
            <w:bookmarkStart w:id="53" w:name="_Toc492643829"/>
            <w:r w:rsidRPr="00695123">
              <w:t xml:space="preserve">§ </w:t>
            </w:r>
            <w:r w:rsidR="004F2B8A" w:rsidRPr="00695123">
              <w:t>20</w:t>
            </w:r>
            <w:r w:rsidRPr="00695123">
              <w:t xml:space="preserve">. Eskalationsstufen / </w:t>
            </w:r>
            <w:proofErr w:type="spellStart"/>
            <w:r w:rsidRPr="00695123">
              <w:t>Controlled</w:t>
            </w:r>
            <w:proofErr w:type="spellEnd"/>
            <w:r w:rsidRPr="00695123">
              <w:t xml:space="preserve"> </w:t>
            </w:r>
            <w:proofErr w:type="spellStart"/>
            <w:r w:rsidRPr="00695123">
              <w:t>Shipment</w:t>
            </w:r>
            <w:proofErr w:type="spellEnd"/>
            <w:r w:rsidRPr="00695123">
              <w:t xml:space="preserve"> Level</w:t>
            </w:r>
            <w:bookmarkEnd w:id="52"/>
            <w:bookmarkEnd w:id="53"/>
          </w:p>
          <w:p w14:paraId="37658239" w14:textId="77777777" w:rsidR="0057796A" w:rsidRPr="00695123" w:rsidRDefault="0057796A" w:rsidP="001954AE">
            <w:pPr>
              <w:pStyle w:val="StandardDEEN"/>
            </w:pPr>
            <w:r w:rsidRPr="00695123">
              <w:t>Wenn ein bereits reklamierter Fehler des Lieferanten erneut auftritt oder die Maßnahmen nicht ausreichend sind, und somit nicht sichergestellt ist, dass KAYSER und der Endkunde von potentiellen Fehler</w:t>
            </w:r>
            <w:r w:rsidR="003B2010" w:rsidRPr="00695123">
              <w:t>n</w:t>
            </w:r>
            <w:r w:rsidRPr="00695123">
              <w:t xml:space="preserve"> oder Produktionsstillständen bedroht sind, wird der Lieferant aufgefordert</w:t>
            </w:r>
            <w:r w:rsidR="00B93F78" w:rsidRPr="00695123">
              <w:t>,</w:t>
            </w:r>
            <w:r w:rsidRPr="00695123">
              <w:t xml:space="preserve"> zusätzliche Maßnahmen in Form eines </w:t>
            </w:r>
            <w:proofErr w:type="spellStart"/>
            <w:r w:rsidRPr="00695123">
              <w:t>Controlled</w:t>
            </w:r>
            <w:proofErr w:type="spellEnd"/>
            <w:r w:rsidRPr="00695123">
              <w:t xml:space="preserve"> Shipping Level 1 (CSL1) oder </w:t>
            </w:r>
            <w:proofErr w:type="spellStart"/>
            <w:r w:rsidRPr="00695123">
              <w:t>Controlled</w:t>
            </w:r>
            <w:proofErr w:type="spellEnd"/>
            <w:r w:rsidRPr="00695123">
              <w:t xml:space="preserve"> </w:t>
            </w:r>
            <w:proofErr w:type="spellStart"/>
            <w:r w:rsidRPr="00695123">
              <w:t>Shippment</w:t>
            </w:r>
            <w:proofErr w:type="spellEnd"/>
            <w:r w:rsidRPr="00695123">
              <w:t xml:space="preserve"> Level 2 (CSL2</w:t>
            </w:r>
            <w:proofErr w:type="gramStart"/>
            <w:r w:rsidRPr="00695123">
              <w:t>)  auf</w:t>
            </w:r>
            <w:proofErr w:type="gramEnd"/>
            <w:r w:rsidRPr="00695123">
              <w:t xml:space="preserve"> eigene Kosten einzuführen, um Wiederholfehler zu vermeiden.</w:t>
            </w:r>
          </w:p>
          <w:p w14:paraId="4C41964E" w14:textId="77777777" w:rsidR="0057796A" w:rsidRPr="00695123" w:rsidRDefault="0057796A" w:rsidP="001954AE">
            <w:pPr>
              <w:pStyle w:val="StandardDEEN"/>
            </w:pPr>
            <w:r w:rsidRPr="00695123">
              <w:t>Bei CSL1 führt der Lieferant eine 100% Kontrolle mit eigenen Mitarbeitern zusätzlich zu den installierten Prüfungen vor Versand der Ware an den mit KAYSER definierten Merkmalen durch.</w:t>
            </w:r>
          </w:p>
          <w:p w14:paraId="0B3000C3" w14:textId="77777777" w:rsidR="0057796A" w:rsidRPr="00695123" w:rsidRDefault="0057796A" w:rsidP="001954AE">
            <w:pPr>
              <w:pStyle w:val="StandardDEEN"/>
            </w:pPr>
            <w:r w:rsidRPr="00695123">
              <w:t>CSL 2 muss der Lieferant einführen, wenn alle Maßnahmen in CSL1 nicht verhindern, dass wi</w:t>
            </w:r>
            <w:r w:rsidR="00B93F78" w:rsidRPr="00695123">
              <w:t>e</w:t>
            </w:r>
            <w:r w:rsidRPr="00695123">
              <w:t xml:space="preserve">derholt fehlerhafte Teile an KAYSER ausgeliefert wurden. Beim CSL 2 wird eine 100 % Warenausgangskontrolle an vorher definierten Merkmalen durch eine externe unabhängige von KAYSER genehmigte Firma durchgeführt. Die Kosten hierfür hat der Lieferant zu tragen. </w:t>
            </w:r>
          </w:p>
          <w:p w14:paraId="4B99E4D3" w14:textId="77777777" w:rsidR="0057796A" w:rsidRPr="00695123" w:rsidRDefault="0057796A" w:rsidP="001954AE">
            <w:pPr>
              <w:pStyle w:val="StandardDEEN"/>
            </w:pPr>
            <w:r w:rsidRPr="00695123">
              <w:t xml:space="preserve">Bei beiden Eskalationsstufen sind die Auswertungen über aufgetretene Fehler und Status zu eingeführten Verbesserungsmaßnahmen in mit dem zuständigen Qualitätsmitarbeiter von </w:t>
            </w:r>
            <w:proofErr w:type="gramStart"/>
            <w:r w:rsidRPr="00695123">
              <w:t>Kayser  abgestimmten</w:t>
            </w:r>
            <w:proofErr w:type="gramEnd"/>
            <w:r w:rsidRPr="00695123">
              <w:t xml:space="preserve"> Intervallen an KAYSER zu senden.</w:t>
            </w:r>
          </w:p>
          <w:p w14:paraId="69EC3E07" w14:textId="77777777" w:rsidR="0057796A" w:rsidRPr="00695123" w:rsidRDefault="0057796A" w:rsidP="001954AE">
            <w:pPr>
              <w:pStyle w:val="StandardDEEN"/>
            </w:pPr>
            <w:r w:rsidRPr="00695123">
              <w:t xml:space="preserve">Die Maßnahmen können erst durch schriftliche Freigabe von KAYSER gestoppt werden, wenn die eingeführten Abstellmaßnahmen erfolgreich waren und über einen Lieferzeitraum von einem Monat und mindesten 3 Anlieferungen oder 3000 Teilen keine weiteren Wiederholfehler aufgetreten sind. </w:t>
            </w:r>
          </w:p>
        </w:tc>
        <w:tc>
          <w:tcPr>
            <w:tcW w:w="4934" w:type="dxa"/>
            <w:tcBorders>
              <w:top w:val="nil"/>
              <w:left w:val="nil"/>
              <w:bottom w:val="nil"/>
              <w:right w:val="nil"/>
            </w:tcBorders>
          </w:tcPr>
          <w:p w14:paraId="27148868" w14:textId="052B93B2" w:rsidR="001954AE" w:rsidRPr="00695123" w:rsidRDefault="001954AE" w:rsidP="00B7318F">
            <w:pPr>
              <w:pStyle w:val="berschriftEN1"/>
              <w:numPr>
                <w:ilvl w:val="0"/>
                <w:numId w:val="0"/>
              </w:numPr>
              <w:ind w:left="737" w:hanging="737"/>
              <w:rPr>
                <w:lang w:val="en-US"/>
              </w:rPr>
            </w:pPr>
            <w:bookmarkStart w:id="54" w:name="_Toc492550473"/>
            <w:bookmarkStart w:id="55" w:name="_Toc492643830"/>
            <w:r w:rsidRPr="00695123">
              <w:rPr>
                <w:lang w:val="en-US"/>
              </w:rPr>
              <w:t xml:space="preserve">§ </w:t>
            </w:r>
            <w:r w:rsidR="004F2B8A" w:rsidRPr="00695123">
              <w:rPr>
                <w:lang w:val="en-US"/>
              </w:rPr>
              <w:t>20</w:t>
            </w:r>
            <w:r w:rsidRPr="00695123">
              <w:rPr>
                <w:lang w:val="en-US"/>
              </w:rPr>
              <w:t>. Escalation levels / controlled shipment level</w:t>
            </w:r>
            <w:bookmarkEnd w:id="54"/>
            <w:bookmarkEnd w:id="55"/>
          </w:p>
          <w:p w14:paraId="59C1CCE7" w14:textId="77777777" w:rsidR="001954AE" w:rsidRPr="00695123" w:rsidRDefault="001954AE" w:rsidP="00957768">
            <w:pPr>
              <w:pStyle w:val="StandardDEEN"/>
              <w:rPr>
                <w:lang w:val="en-US"/>
              </w:rPr>
            </w:pPr>
            <w:r w:rsidRPr="00695123">
              <w:rPr>
                <w:lang w:val="en-US"/>
              </w:rPr>
              <w:t>If a defect arises on the part of the Supplier again which has already been complained of or the measures are not sufficient and it is not therefore ensured that KAYSER and the end customer are not threatened by potential defects or production stoppages, the Supplier shall be requested to introduce additional measures in the form of a controlled shipping level 1 (CSL1) or controlled shipping level 2 (CSL2) at its own expense in order to avoid repeated defects.</w:t>
            </w:r>
          </w:p>
          <w:p w14:paraId="7ADEB2ED" w14:textId="77777777" w:rsidR="001954AE" w:rsidRPr="00695123" w:rsidRDefault="001954AE" w:rsidP="00957768">
            <w:pPr>
              <w:pStyle w:val="StandardDEEN"/>
              <w:rPr>
                <w:lang w:val="en-US"/>
              </w:rPr>
            </w:pPr>
            <w:r w:rsidRPr="00695123">
              <w:rPr>
                <w:lang w:val="en-US"/>
              </w:rPr>
              <w:t>At CSL1, the Supplier conducts a full check on the features defined with KAYSER using its own employees in addition to the installed tests before sending the goods.</w:t>
            </w:r>
          </w:p>
          <w:p w14:paraId="4C831559" w14:textId="77777777" w:rsidR="001954AE" w:rsidRPr="00695123" w:rsidRDefault="001954AE" w:rsidP="00957768">
            <w:pPr>
              <w:pStyle w:val="StandardDEEN"/>
              <w:rPr>
                <w:lang w:val="en-GB"/>
              </w:rPr>
            </w:pPr>
            <w:r w:rsidRPr="00695123">
              <w:rPr>
                <w:lang w:val="en-US"/>
              </w:rPr>
              <w:t xml:space="preserve">The Supplier must introduce CSL 2 if all measures in CSL1 do not prevent defective parts being delivered to KAYSER repeatedly. With </w:t>
            </w:r>
            <w:r w:rsidRPr="00695123">
              <w:rPr>
                <w:lang w:val="en-GB"/>
              </w:rPr>
              <w:t>CSL 2, a full incoming goods test is conducted on previously defined features by an external independent company approved by KAYSER. The costs for this must be borne by the Supplier</w:t>
            </w:r>
            <w:r w:rsidR="00AB30AD" w:rsidRPr="00695123">
              <w:rPr>
                <w:lang w:val="en-GB"/>
              </w:rPr>
              <w:t>.</w:t>
            </w:r>
          </w:p>
          <w:p w14:paraId="5BD6DCDC" w14:textId="77777777" w:rsidR="00AB30AD" w:rsidRPr="00695123" w:rsidRDefault="00AB30AD" w:rsidP="00AB30AD">
            <w:pPr>
              <w:pStyle w:val="StandardDEEN"/>
              <w:spacing w:before="0"/>
              <w:rPr>
                <w:lang w:val="en-GB"/>
              </w:rPr>
            </w:pPr>
          </w:p>
          <w:p w14:paraId="5CE3C27B" w14:textId="77777777" w:rsidR="001954AE" w:rsidRPr="00695123" w:rsidRDefault="001954AE" w:rsidP="00957768">
            <w:pPr>
              <w:pStyle w:val="StandardDEEN"/>
              <w:rPr>
                <w:lang w:val="en-GB"/>
              </w:rPr>
            </w:pPr>
            <w:r w:rsidRPr="00695123">
              <w:rPr>
                <w:lang w:val="en-GB"/>
              </w:rPr>
              <w:t xml:space="preserve">With both escalation levels, the analyses of the defects which have </w:t>
            </w:r>
            <w:proofErr w:type="gramStart"/>
            <w:r w:rsidRPr="00695123">
              <w:rPr>
                <w:lang w:val="en-GB"/>
              </w:rPr>
              <w:t>occurred</w:t>
            </w:r>
            <w:proofErr w:type="gramEnd"/>
            <w:r w:rsidRPr="00695123">
              <w:rPr>
                <w:lang w:val="en-GB"/>
              </w:rPr>
              <w:t xml:space="preserve"> and the status of introduced improvement measures must be sent to KAYSER at intervals agreed with the responsible KAYSER quality employee.</w:t>
            </w:r>
          </w:p>
          <w:p w14:paraId="28A8CB5E" w14:textId="77777777" w:rsidR="0057796A" w:rsidRPr="00695123" w:rsidRDefault="001954AE" w:rsidP="00957768">
            <w:pPr>
              <w:pStyle w:val="StandardDEEN"/>
              <w:rPr>
                <w:lang w:val="en-GB"/>
              </w:rPr>
            </w:pPr>
            <w:r w:rsidRPr="00695123">
              <w:rPr>
                <w:lang w:val="en-GB"/>
              </w:rPr>
              <w:t xml:space="preserve">The measures can first be stopped on written approval of KAYSER if the remedial measures introduced were successful and no further repeated defects have occurred over a delivery period of one month and at least 3 deliveries or 3000 parts. </w:t>
            </w:r>
          </w:p>
        </w:tc>
      </w:tr>
      <w:tr w:rsidR="00695123" w:rsidRPr="00695123" w14:paraId="471C33A7" w14:textId="77777777" w:rsidTr="00AD39CE">
        <w:tc>
          <w:tcPr>
            <w:tcW w:w="4988" w:type="dxa"/>
            <w:tcBorders>
              <w:top w:val="nil"/>
              <w:left w:val="nil"/>
              <w:bottom w:val="nil"/>
              <w:right w:val="nil"/>
            </w:tcBorders>
          </w:tcPr>
          <w:p w14:paraId="6E61052E" w14:textId="104DD2A9" w:rsidR="0057796A" w:rsidRPr="00695123" w:rsidRDefault="0057796A" w:rsidP="001954AE">
            <w:pPr>
              <w:pStyle w:val="berschrift1"/>
              <w:numPr>
                <w:ilvl w:val="0"/>
                <w:numId w:val="0"/>
              </w:numPr>
              <w:ind w:left="357" w:hanging="357"/>
            </w:pPr>
            <w:bookmarkStart w:id="56" w:name="_Toc492627353"/>
            <w:bookmarkStart w:id="57" w:name="_Toc492643831"/>
            <w:r w:rsidRPr="00695123">
              <w:t xml:space="preserve">§ </w:t>
            </w:r>
            <w:r w:rsidR="00A321ED" w:rsidRPr="00695123">
              <w:t>21</w:t>
            </w:r>
            <w:r w:rsidRPr="00695123">
              <w:t>. Lieferantenbewertung</w:t>
            </w:r>
            <w:bookmarkEnd w:id="56"/>
            <w:bookmarkEnd w:id="57"/>
          </w:p>
          <w:p w14:paraId="1B10B039" w14:textId="77777777" w:rsidR="0057796A" w:rsidRPr="00695123" w:rsidRDefault="0057796A" w:rsidP="001954AE">
            <w:pPr>
              <w:pStyle w:val="StandardDEEN"/>
            </w:pPr>
            <w:r w:rsidRPr="00695123">
              <w:t>KAYSER führt eine halbjährliche Lieferantenbewertung durch. Hauptkriterien der Bewertung sind Qualitätskennzahlen, Liefertreue und Mengentreue. Bei einer Bewertung als B oder C Lieferant wird der Lieferant schriftlich über die Einstufung informiert und ist aufgefordert Maßnahmen zu ergreifen, um den Status eines A Lieferanten zu erreichen. C Lieferanten werden aufgefordert den Maßnahmenplan in einem Qualitätsgespräch vorzustellen.</w:t>
            </w:r>
          </w:p>
        </w:tc>
        <w:tc>
          <w:tcPr>
            <w:tcW w:w="4934" w:type="dxa"/>
            <w:tcBorders>
              <w:top w:val="nil"/>
              <w:left w:val="nil"/>
              <w:bottom w:val="nil"/>
              <w:right w:val="nil"/>
            </w:tcBorders>
          </w:tcPr>
          <w:p w14:paraId="6A452D95" w14:textId="006AE784" w:rsidR="001954AE" w:rsidRPr="00695123" w:rsidRDefault="001954AE" w:rsidP="00AB30AD">
            <w:pPr>
              <w:pStyle w:val="berschriftEN1"/>
              <w:numPr>
                <w:ilvl w:val="0"/>
                <w:numId w:val="0"/>
              </w:numPr>
              <w:rPr>
                <w:lang w:val="en-US"/>
              </w:rPr>
            </w:pPr>
            <w:bookmarkStart w:id="58" w:name="_Toc492550474"/>
            <w:bookmarkStart w:id="59" w:name="_Toc492643832"/>
            <w:r w:rsidRPr="00695123">
              <w:rPr>
                <w:lang w:val="en-US"/>
              </w:rPr>
              <w:t xml:space="preserve">§ </w:t>
            </w:r>
            <w:r w:rsidR="00A321ED" w:rsidRPr="00695123">
              <w:rPr>
                <w:lang w:val="en-US"/>
              </w:rPr>
              <w:t>21</w:t>
            </w:r>
            <w:r w:rsidRPr="00695123">
              <w:rPr>
                <w:lang w:val="en-US"/>
              </w:rPr>
              <w:t>. Supplier assessment</w:t>
            </w:r>
            <w:bookmarkEnd w:id="58"/>
            <w:bookmarkEnd w:id="59"/>
            <w:r w:rsidRPr="00695123">
              <w:rPr>
                <w:lang w:val="en-US"/>
              </w:rPr>
              <w:t xml:space="preserve"> </w:t>
            </w:r>
          </w:p>
          <w:p w14:paraId="7AF293C7" w14:textId="77777777" w:rsidR="0057796A" w:rsidRPr="00695123" w:rsidRDefault="001954AE" w:rsidP="00957768">
            <w:pPr>
              <w:pStyle w:val="StandardDEEN"/>
              <w:rPr>
                <w:lang w:val="en-GB"/>
              </w:rPr>
            </w:pPr>
            <w:r w:rsidRPr="00695123">
              <w:rPr>
                <w:lang w:val="en-GB"/>
              </w:rPr>
              <w:t>KAYSER shall conduct a semi-annual supplier assessment. Main criteria for the assessment shall be quality ratios, adherence to supply deadlines and adherence to supply quantities. If the assessment is a B or C supplier, the Supplier shall be notified in writing about the classification and is called upon to take measures to achieve the status of an A supplier. C suppliers are called upon to present the measures plan during a quality interview.</w:t>
            </w:r>
          </w:p>
        </w:tc>
      </w:tr>
      <w:tr w:rsidR="00695123" w:rsidRPr="00695123" w14:paraId="3780E83F" w14:textId="77777777" w:rsidTr="00AD39CE">
        <w:tc>
          <w:tcPr>
            <w:tcW w:w="4988" w:type="dxa"/>
            <w:tcBorders>
              <w:top w:val="nil"/>
              <w:left w:val="nil"/>
              <w:bottom w:val="nil"/>
              <w:right w:val="nil"/>
            </w:tcBorders>
          </w:tcPr>
          <w:p w14:paraId="1FF658F9" w14:textId="6B3210CF" w:rsidR="0057796A" w:rsidRPr="00695123" w:rsidRDefault="0057796A" w:rsidP="001954AE">
            <w:pPr>
              <w:pStyle w:val="berschrift1"/>
              <w:numPr>
                <w:ilvl w:val="0"/>
                <w:numId w:val="0"/>
              </w:numPr>
              <w:ind w:left="357" w:hanging="357"/>
            </w:pPr>
            <w:bookmarkStart w:id="60" w:name="_Toc492627354"/>
            <w:bookmarkStart w:id="61" w:name="_Toc492643833"/>
            <w:r w:rsidRPr="00695123">
              <w:t xml:space="preserve">§ </w:t>
            </w:r>
            <w:r w:rsidR="00A321ED" w:rsidRPr="00695123">
              <w:t>22</w:t>
            </w:r>
            <w:r w:rsidRPr="00695123">
              <w:t>. Sicherheitsrelevante Bauteile</w:t>
            </w:r>
            <w:bookmarkEnd w:id="60"/>
            <w:bookmarkEnd w:id="61"/>
          </w:p>
          <w:p w14:paraId="2557E855" w14:textId="1C14760F" w:rsidR="0057796A" w:rsidRPr="00695123" w:rsidRDefault="0057796A" w:rsidP="001954AE">
            <w:pPr>
              <w:pStyle w:val="StandardDEEN"/>
            </w:pPr>
            <w:r w:rsidRPr="00695123">
              <w:t>Für sicherheitsrelevante Bauteile führt der Lieferant mindestens einmal jährlich ein internes D</w:t>
            </w:r>
            <w:r w:rsidR="00633AC1" w:rsidRPr="00695123">
              <w:t>-Teile</w:t>
            </w:r>
            <w:r w:rsidRPr="00695123">
              <w:t xml:space="preserve">-Selbstaudit durch (Formular kann über </w:t>
            </w:r>
            <w:r w:rsidRPr="00695123">
              <w:rPr>
                <w:rFonts w:cs="HelveticaNeue-Light"/>
                <w:szCs w:val="24"/>
              </w:rPr>
              <w:t>KAYSER</w:t>
            </w:r>
            <w:r w:rsidRPr="00695123">
              <w:t xml:space="preserve"> bereitgestellt werden). Werden bei dem Audit Mängel erkannt, </w:t>
            </w:r>
            <w:r w:rsidR="00D110D4" w:rsidRPr="00695123">
              <w:t xml:space="preserve">informiert der Lieferant unaufgefordert und unverzüglich Kayser und stellt den festgestellten Mangel unverzüglich ab </w:t>
            </w:r>
            <w:r w:rsidRPr="00695123">
              <w:t xml:space="preserve">Die Auditergebnisse sind mindestens </w:t>
            </w:r>
            <w:r w:rsidR="00B53C88" w:rsidRPr="00695123">
              <w:t xml:space="preserve">30 </w:t>
            </w:r>
            <w:r w:rsidRPr="00695123">
              <w:t>Jahre</w:t>
            </w:r>
            <w:r w:rsidR="00C2438A" w:rsidRPr="00695123">
              <w:t xml:space="preserve"> (oder abweichend nach CSR)</w:t>
            </w:r>
            <w:r w:rsidRPr="00695123">
              <w:t xml:space="preserve"> </w:t>
            </w:r>
            <w:r w:rsidR="00B53C88" w:rsidRPr="00695123">
              <w:t xml:space="preserve">ab dem </w:t>
            </w:r>
            <w:proofErr w:type="spellStart"/>
            <w:r w:rsidR="00B53C88" w:rsidRPr="00695123">
              <w:t>Austellungstag</w:t>
            </w:r>
            <w:proofErr w:type="spellEnd"/>
            <w:r w:rsidR="00B53C88" w:rsidRPr="00695123">
              <w:t xml:space="preserve"> </w:t>
            </w:r>
            <w:r w:rsidRPr="00695123">
              <w:t>zu archivieren</w:t>
            </w:r>
            <w:r w:rsidR="00B53C88" w:rsidRPr="00695123">
              <w:t xml:space="preserve"> (siehe auch </w:t>
            </w:r>
            <w:proofErr w:type="gramStart"/>
            <w:r w:rsidR="00B53C88" w:rsidRPr="00695123">
              <w:t>VDA Band</w:t>
            </w:r>
            <w:proofErr w:type="gramEnd"/>
            <w:r w:rsidR="00B53C88" w:rsidRPr="00695123">
              <w:t xml:space="preserve"> 1 „Dokumentierte Informationen und Aufbewahrung“)</w:t>
            </w:r>
            <w:r w:rsidRPr="00695123">
              <w:t>.</w:t>
            </w:r>
            <w:r w:rsidR="00B53C88" w:rsidRPr="00695123">
              <w:t xml:space="preserve"> </w:t>
            </w:r>
            <w:r w:rsidR="00D37B7C" w:rsidRPr="00695123">
              <w:t xml:space="preserve">Die </w:t>
            </w:r>
            <w:r w:rsidR="000A5E60" w:rsidRPr="00695123">
              <w:t>FMEA und P</w:t>
            </w:r>
            <w:r w:rsidR="00D37B7C" w:rsidRPr="00695123">
              <w:t xml:space="preserve">roduktionslenkungsplan sind </w:t>
            </w:r>
            <w:r w:rsidR="000A5E60" w:rsidRPr="00695123">
              <w:t>durch</w:t>
            </w:r>
            <w:r w:rsidR="00D37B7C" w:rsidRPr="00695123">
              <w:t xml:space="preserve"> den</w:t>
            </w:r>
            <w:r w:rsidR="000A5E60" w:rsidRPr="00695123">
              <w:t xml:space="preserve"> PSCR des Lieferanten</w:t>
            </w:r>
            <w:r w:rsidR="00D37B7C" w:rsidRPr="00695123">
              <w:t xml:space="preserve"> freizugeben</w:t>
            </w:r>
            <w:r w:rsidR="000A5E60" w:rsidRPr="00695123">
              <w:t>.</w:t>
            </w:r>
          </w:p>
          <w:p w14:paraId="48C010FD" w14:textId="0E0E0764" w:rsidR="001C56C7" w:rsidRPr="00695123" w:rsidRDefault="001C56C7" w:rsidP="001954AE">
            <w:pPr>
              <w:pStyle w:val="StandardDEEN"/>
            </w:pPr>
            <w:r w:rsidRPr="00695123">
              <w:t>Der Lieferant muss über dokumentierte Prozesse für das Management von produktsicherheitsrelevanten Produkten und Produktionsprozessen verfüge</w:t>
            </w:r>
          </w:p>
        </w:tc>
        <w:tc>
          <w:tcPr>
            <w:tcW w:w="4934" w:type="dxa"/>
            <w:tcBorders>
              <w:top w:val="nil"/>
              <w:left w:val="nil"/>
              <w:bottom w:val="nil"/>
              <w:right w:val="nil"/>
            </w:tcBorders>
          </w:tcPr>
          <w:p w14:paraId="0B588D29" w14:textId="63DFB9A4" w:rsidR="001954AE" w:rsidRPr="00695123" w:rsidRDefault="001954AE" w:rsidP="00AB30AD">
            <w:pPr>
              <w:pStyle w:val="berschriftEN1"/>
              <w:numPr>
                <w:ilvl w:val="0"/>
                <w:numId w:val="0"/>
              </w:numPr>
              <w:rPr>
                <w:lang w:val="en-US"/>
              </w:rPr>
            </w:pPr>
            <w:bookmarkStart w:id="62" w:name="_Toc492550475"/>
            <w:bookmarkStart w:id="63" w:name="_Toc492643834"/>
            <w:r w:rsidRPr="00695123">
              <w:rPr>
                <w:lang w:val="en-US"/>
              </w:rPr>
              <w:t xml:space="preserve">§ </w:t>
            </w:r>
            <w:r w:rsidR="00A321ED" w:rsidRPr="00695123">
              <w:rPr>
                <w:lang w:val="en-US"/>
              </w:rPr>
              <w:t>22</w:t>
            </w:r>
            <w:r w:rsidRPr="00695123">
              <w:rPr>
                <w:lang w:val="en-US"/>
              </w:rPr>
              <w:t>. Safety-relevant components</w:t>
            </w:r>
            <w:bookmarkEnd w:id="62"/>
            <w:bookmarkEnd w:id="63"/>
            <w:r w:rsidRPr="00695123">
              <w:rPr>
                <w:lang w:val="en-US"/>
              </w:rPr>
              <w:t xml:space="preserve"> </w:t>
            </w:r>
          </w:p>
          <w:p w14:paraId="2E70F65A" w14:textId="25D51DBC" w:rsidR="0057796A" w:rsidRPr="00695123" w:rsidRDefault="001954AE" w:rsidP="00794288">
            <w:pPr>
              <w:pStyle w:val="StandardDEEN"/>
              <w:rPr>
                <w:lang w:val="en-GB"/>
              </w:rPr>
            </w:pPr>
            <w:r w:rsidRPr="00695123">
              <w:rPr>
                <w:lang w:val="en-US"/>
              </w:rPr>
              <w:t>The Supplier shall conduct an internal D</w:t>
            </w:r>
            <w:r w:rsidR="00633AC1" w:rsidRPr="00695123">
              <w:rPr>
                <w:lang w:val="en-US"/>
              </w:rPr>
              <w:t>-parts</w:t>
            </w:r>
            <w:r w:rsidRPr="00695123">
              <w:rPr>
                <w:lang w:val="en-US"/>
              </w:rPr>
              <w:t xml:space="preserve"> self-audit for safety-relevant components at least once a year (form can be provided by </w:t>
            </w:r>
            <w:r w:rsidRPr="00695123">
              <w:rPr>
                <w:rFonts w:cs="HelveticaNeue-Light"/>
                <w:szCs w:val="24"/>
                <w:lang w:val="en-US"/>
              </w:rPr>
              <w:t>KAYSER</w:t>
            </w:r>
            <w:r w:rsidRPr="00695123">
              <w:rPr>
                <w:lang w:val="en-US"/>
              </w:rPr>
              <w:t xml:space="preserve">). If defects are </w:t>
            </w:r>
            <w:proofErr w:type="spellStart"/>
            <w:r w:rsidRPr="00695123">
              <w:rPr>
                <w:lang w:val="en-US"/>
              </w:rPr>
              <w:t>recognised</w:t>
            </w:r>
            <w:proofErr w:type="spellEnd"/>
            <w:r w:rsidRPr="00695123">
              <w:rPr>
                <w:lang w:val="en-US"/>
              </w:rPr>
              <w:t xml:space="preserve"> in the audit, the Supplier shall take the requisite measures </w:t>
            </w:r>
            <w:r w:rsidR="00FE6134" w:rsidRPr="00695123">
              <w:rPr>
                <w:lang w:val="en-US"/>
              </w:rPr>
              <w:t>without request and immediately</w:t>
            </w:r>
            <w:r w:rsidRPr="00695123">
              <w:rPr>
                <w:lang w:val="en-US"/>
              </w:rPr>
              <w:t>. The audit results must be archived for at least</w:t>
            </w:r>
            <w:r w:rsidR="00FE6134" w:rsidRPr="00695123">
              <w:rPr>
                <w:lang w:val="en-US"/>
              </w:rPr>
              <w:t xml:space="preserve"> </w:t>
            </w:r>
            <w:proofErr w:type="gramStart"/>
            <w:r w:rsidR="00534B37" w:rsidRPr="00695123">
              <w:rPr>
                <w:lang w:val="en-US"/>
              </w:rPr>
              <w:t xml:space="preserve">30 </w:t>
            </w:r>
            <w:r w:rsidRPr="00695123">
              <w:rPr>
                <w:lang w:val="en-US"/>
              </w:rPr>
              <w:t xml:space="preserve"> years</w:t>
            </w:r>
            <w:proofErr w:type="gramEnd"/>
            <w:r w:rsidR="00C2438A" w:rsidRPr="00695123">
              <w:rPr>
                <w:lang w:val="en-US"/>
              </w:rPr>
              <w:t xml:space="preserve"> (or deviating according to CSR)</w:t>
            </w:r>
            <w:r w:rsidR="00534B37" w:rsidRPr="00695123">
              <w:rPr>
                <w:lang w:val="en-US"/>
              </w:rPr>
              <w:t xml:space="preserve"> started at the date of creation</w:t>
            </w:r>
            <w:r w:rsidR="00794288" w:rsidRPr="00695123">
              <w:rPr>
                <w:lang w:val="en-US"/>
              </w:rPr>
              <w:t xml:space="preserve"> ( see also VDA Book 1 “Documented Information and Retention”)</w:t>
            </w:r>
            <w:r w:rsidRPr="00695123">
              <w:rPr>
                <w:lang w:val="en-GB"/>
              </w:rPr>
              <w:t>.</w:t>
            </w:r>
            <w:r w:rsidR="00D37B7C" w:rsidRPr="00695123">
              <w:rPr>
                <w:lang w:val="en-GB"/>
              </w:rPr>
              <w:t xml:space="preserve"> The FMEA and control plan must be approved by the supplier's PSCR.</w:t>
            </w:r>
          </w:p>
          <w:p w14:paraId="5F2C09CD" w14:textId="739C5F22" w:rsidR="001C56C7" w:rsidRPr="00695123" w:rsidRDefault="00D023B7" w:rsidP="00794288">
            <w:pPr>
              <w:pStyle w:val="StandardDEEN"/>
              <w:rPr>
                <w:lang w:val="en-US"/>
              </w:rPr>
            </w:pPr>
            <w:r w:rsidRPr="00695123">
              <w:rPr>
                <w:lang w:val="en-US"/>
              </w:rPr>
              <w:br/>
            </w:r>
            <w:r w:rsidRPr="00695123">
              <w:rPr>
                <w:lang w:val="en-US"/>
              </w:rPr>
              <w:br/>
            </w:r>
            <w:r w:rsidR="001C56C7" w:rsidRPr="00695123">
              <w:rPr>
                <w:lang w:val="en-US"/>
              </w:rPr>
              <w:t xml:space="preserve">The supplier </w:t>
            </w:r>
            <w:r w:rsidR="00E82E1F" w:rsidRPr="00695123">
              <w:rPr>
                <w:lang w:val="en-US"/>
              </w:rPr>
              <w:t>must</w:t>
            </w:r>
            <w:r w:rsidR="001C56C7" w:rsidRPr="00695123">
              <w:rPr>
                <w:lang w:val="en-US"/>
              </w:rPr>
              <w:t xml:space="preserve"> have a documented process for the management of “product safety” related products and manufacturing processes.</w:t>
            </w:r>
          </w:p>
        </w:tc>
      </w:tr>
      <w:tr w:rsidR="00695123" w:rsidRPr="00695123" w14:paraId="6A9FE412" w14:textId="77777777" w:rsidTr="00AD39CE">
        <w:tc>
          <w:tcPr>
            <w:tcW w:w="4988" w:type="dxa"/>
            <w:tcBorders>
              <w:top w:val="nil"/>
              <w:left w:val="nil"/>
              <w:bottom w:val="nil"/>
              <w:right w:val="nil"/>
            </w:tcBorders>
          </w:tcPr>
          <w:p w14:paraId="675A8C81" w14:textId="0B29DFD1" w:rsidR="0057796A" w:rsidRPr="00695123" w:rsidRDefault="0057796A" w:rsidP="001954AE">
            <w:pPr>
              <w:pStyle w:val="berschrift1"/>
              <w:numPr>
                <w:ilvl w:val="0"/>
                <w:numId w:val="0"/>
              </w:numPr>
              <w:ind w:left="357" w:hanging="357"/>
            </w:pPr>
            <w:bookmarkStart w:id="64" w:name="_Toc492627355"/>
            <w:bookmarkStart w:id="65" w:name="_Toc492643835"/>
            <w:r w:rsidRPr="00695123">
              <w:t xml:space="preserve">§ </w:t>
            </w:r>
            <w:r w:rsidR="00A321ED" w:rsidRPr="00695123">
              <w:t>23</w:t>
            </w:r>
            <w:r w:rsidRPr="00695123">
              <w:t>. Audits</w:t>
            </w:r>
            <w:bookmarkEnd w:id="64"/>
            <w:bookmarkEnd w:id="65"/>
          </w:p>
          <w:p w14:paraId="17CD25FB" w14:textId="77777777" w:rsidR="0057796A" w:rsidRPr="00695123" w:rsidRDefault="0057796A" w:rsidP="001954AE">
            <w:pPr>
              <w:pStyle w:val="StandardDEEN"/>
            </w:pPr>
            <w:r w:rsidRPr="00695123">
              <w:t xml:space="preserve">Kayser erkennt Auditergebnisse nach VDA, Band 6.1/6.3, IATF 16949 und AIAG CQI von </w:t>
            </w:r>
            <w:r w:rsidR="00D110D4" w:rsidRPr="00695123">
              <w:t xml:space="preserve">externen </w:t>
            </w:r>
            <w:r w:rsidRPr="00695123">
              <w:t xml:space="preserve">zugelassenen Auditoren an, sofern die Ergebnisse nicht älter als 3 Jahre sind. Gleichzeitig behält sich KAYSER </w:t>
            </w:r>
            <w:r w:rsidR="00ED1891" w:rsidRPr="00695123">
              <w:t xml:space="preserve">jedoch </w:t>
            </w:r>
            <w:r w:rsidRPr="00695123">
              <w:t xml:space="preserve">vor, eine eigene Lieferantenbewertung durch </w:t>
            </w:r>
            <w:r w:rsidRPr="00695123">
              <w:rPr>
                <w:szCs w:val="24"/>
              </w:rPr>
              <w:t>Auditierung</w:t>
            </w:r>
            <w:r w:rsidR="00ED1891" w:rsidRPr="00695123">
              <w:rPr>
                <w:szCs w:val="24"/>
              </w:rPr>
              <w:t xml:space="preserve"> nach vorheriger angemessener Ankündigung</w:t>
            </w:r>
            <w:r w:rsidRPr="00695123">
              <w:rPr>
                <w:szCs w:val="24"/>
              </w:rPr>
              <w:t xml:space="preserve"> durchzuführen. Anl</w:t>
            </w:r>
            <w:r w:rsidR="00ED1891" w:rsidRPr="00695123">
              <w:rPr>
                <w:szCs w:val="24"/>
              </w:rPr>
              <w:t>ä</w:t>
            </w:r>
            <w:r w:rsidRPr="00695123">
              <w:rPr>
                <w:szCs w:val="24"/>
              </w:rPr>
              <w:t xml:space="preserve">sse für Audits können zum Beispiel sein: </w:t>
            </w:r>
            <w:proofErr w:type="gramStart"/>
            <w:r w:rsidRPr="00695123">
              <w:rPr>
                <w:szCs w:val="24"/>
              </w:rPr>
              <w:t>Eine  Lieferantenbewertung</w:t>
            </w:r>
            <w:proofErr w:type="gramEnd"/>
            <w:r w:rsidRPr="00695123">
              <w:rPr>
                <w:szCs w:val="24"/>
              </w:rPr>
              <w:t xml:space="preserve"> mit dem Ergebnis B oder C, Prozessabnahmen von neuen Produkten, Reklamationen, Abnahme von Prozessänderungen usw. Der Lieferant gewährt </w:t>
            </w:r>
            <w:r w:rsidRPr="00695123">
              <w:rPr>
                <w:rFonts w:cs="HelveticaNeue-Light"/>
                <w:szCs w:val="24"/>
              </w:rPr>
              <w:t>KAYSER</w:t>
            </w:r>
            <w:r w:rsidRPr="00695123">
              <w:rPr>
                <w:szCs w:val="24"/>
              </w:rPr>
              <w:t xml:space="preserve"> </w:t>
            </w:r>
            <w:r w:rsidR="00ED1891" w:rsidRPr="00695123">
              <w:rPr>
                <w:szCs w:val="24"/>
              </w:rPr>
              <w:t xml:space="preserve">und dem Endkunden unter Einhaltung gesetzlicher Vorgaben und Berücksichtigung </w:t>
            </w:r>
            <w:proofErr w:type="gramStart"/>
            <w:r w:rsidR="00ED1891" w:rsidRPr="00695123">
              <w:rPr>
                <w:szCs w:val="24"/>
              </w:rPr>
              <w:t>potentiell</w:t>
            </w:r>
            <w:proofErr w:type="gramEnd"/>
            <w:r w:rsidR="00ED1891" w:rsidRPr="00695123">
              <w:rPr>
                <w:szCs w:val="24"/>
              </w:rPr>
              <w:t xml:space="preserve"> entgegenstehenden Geheimhaltungsabreden des </w:t>
            </w:r>
            <w:proofErr w:type="spellStart"/>
            <w:r w:rsidR="00ED1891" w:rsidRPr="00695123">
              <w:rPr>
                <w:szCs w:val="24"/>
              </w:rPr>
              <w:t>Lieferaten</w:t>
            </w:r>
            <w:proofErr w:type="spellEnd"/>
            <w:r w:rsidR="00ED1891" w:rsidRPr="00695123">
              <w:rPr>
                <w:szCs w:val="24"/>
              </w:rPr>
              <w:t xml:space="preserve"> </w:t>
            </w:r>
            <w:r w:rsidRPr="00695123">
              <w:rPr>
                <w:szCs w:val="24"/>
              </w:rPr>
              <w:t>Zugang zu allen relevanten Produktionsbereichen und Einblick in alle produktionsbezogenen Unterlagen. Der Lieferant führt selbstständig mindestens einmal pro Jahr ein Prozess- und ein Systemaudit für</w:t>
            </w:r>
            <w:r w:rsidR="00D110D4" w:rsidRPr="00695123">
              <w:rPr>
                <w:szCs w:val="24"/>
              </w:rPr>
              <w:t xml:space="preserve"> jede</w:t>
            </w:r>
            <w:r w:rsidRPr="00695123">
              <w:rPr>
                <w:szCs w:val="24"/>
              </w:rPr>
              <w:t xml:space="preserve"> Produktgruppe durch. Grundlage für die Audits sind die Forderungen der IATF 16949, VDA </w:t>
            </w:r>
            <w:r w:rsidR="00ED1891" w:rsidRPr="00695123">
              <w:rPr>
                <w:szCs w:val="24"/>
              </w:rPr>
              <w:t xml:space="preserve">Band </w:t>
            </w:r>
            <w:proofErr w:type="gramStart"/>
            <w:r w:rsidRPr="00695123">
              <w:rPr>
                <w:szCs w:val="24"/>
              </w:rPr>
              <w:t>6.3  sowie</w:t>
            </w:r>
            <w:proofErr w:type="gramEnd"/>
            <w:r w:rsidRPr="00695123">
              <w:rPr>
                <w:szCs w:val="24"/>
              </w:rPr>
              <w:t xml:space="preserve"> die kundenspezifischen </w:t>
            </w:r>
            <w:r w:rsidRPr="00695123">
              <w:t>Forderungen des jeweiligen OEM</w:t>
            </w:r>
            <w:r w:rsidR="000A572D" w:rsidRPr="00695123">
              <w:t xml:space="preserve"> (</w:t>
            </w:r>
            <w:proofErr w:type="spellStart"/>
            <w:r w:rsidR="000A572D" w:rsidRPr="00695123">
              <w:t>z.Bsp</w:t>
            </w:r>
            <w:proofErr w:type="spellEnd"/>
            <w:r w:rsidR="000A572D" w:rsidRPr="00695123">
              <w:t>. Formel-Q, CQI usw.)</w:t>
            </w:r>
            <w:r w:rsidRPr="00695123">
              <w:t xml:space="preserve"> (siehe </w:t>
            </w:r>
            <w:hyperlink r:id="rId15" w:history="1">
              <w:r w:rsidRPr="00695123">
                <w:rPr>
                  <w:rStyle w:val="Hyperlink"/>
                  <w:color w:val="auto"/>
                </w:rPr>
                <w:t>www.vda-qmc.de</w:t>
              </w:r>
            </w:hyperlink>
            <w:r w:rsidRPr="00695123">
              <w:t xml:space="preserve"> und AIAG CQI). </w:t>
            </w:r>
          </w:p>
          <w:p w14:paraId="0ADCFD3A" w14:textId="6D2C179B" w:rsidR="00C576DE" w:rsidRPr="00695123" w:rsidRDefault="00C576DE" w:rsidP="001954AE">
            <w:pPr>
              <w:pStyle w:val="StandardDEEN"/>
            </w:pPr>
            <w:r w:rsidRPr="00695123">
              <w:t>Die durchzuführenden Prozess</w:t>
            </w:r>
            <w:r w:rsidR="00FF5336" w:rsidRPr="00695123">
              <w:t>-</w:t>
            </w:r>
            <w:r w:rsidR="006103B7" w:rsidRPr="00695123">
              <w:t xml:space="preserve"> und</w:t>
            </w:r>
            <w:r w:rsidRPr="00695123">
              <w:t xml:space="preserve"> Produkt</w:t>
            </w:r>
            <w:r w:rsidR="00FF5336" w:rsidRPr="00695123">
              <w:t xml:space="preserve">- </w:t>
            </w:r>
            <w:r w:rsidRPr="00695123">
              <w:t>Selbstaudits, die den Anforderungen der AIAG - CQI Standards; Formel-Q;</w:t>
            </w:r>
            <w:r w:rsidR="000A5E60" w:rsidRPr="00695123">
              <w:t xml:space="preserve"> TLD</w:t>
            </w:r>
            <w:r w:rsidR="006706D5" w:rsidRPr="00695123">
              <w:t xml:space="preserve">; D-Teile; </w:t>
            </w:r>
            <w:r w:rsidRPr="00695123">
              <w:t xml:space="preserve"> VDA6.3 unterliegen, sind gemäß der Festlegung i</w:t>
            </w:r>
            <w:r w:rsidR="00297DF1" w:rsidRPr="00695123">
              <w:t xml:space="preserve">m </w:t>
            </w:r>
            <w:r w:rsidR="001005DE" w:rsidRPr="00695123">
              <w:t>Bemusterungsabstimmungsgespräch</w:t>
            </w:r>
            <w:r w:rsidR="000A5E60" w:rsidRPr="00695123">
              <w:t xml:space="preserve"> </w:t>
            </w:r>
            <w:r w:rsidRPr="00695123">
              <w:t xml:space="preserve"> zu dokumentieren und die entsprechenden Selbstbewertungen sofort und unaufgefordert alle 12 Monate unter </w:t>
            </w:r>
            <w:hyperlink r:id="rId16" w:tgtFrame="_blank" w:tooltip="https://lm24.progo-service.de/" w:history="1">
              <w:r w:rsidRPr="00695123">
                <w:rPr>
                  <w:rStyle w:val="Hyperlink"/>
                  <w:color w:val="auto"/>
                </w:rPr>
                <w:t>https://lm24.progo-service.de</w:t>
              </w:r>
            </w:hyperlink>
            <w:r w:rsidRPr="00695123">
              <w:t xml:space="preserve"> Upload Formular hochzuladen. </w:t>
            </w:r>
          </w:p>
          <w:p w14:paraId="3436BDFD" w14:textId="77777777" w:rsidR="0057796A" w:rsidRPr="00695123" w:rsidRDefault="0057796A" w:rsidP="001954AE">
            <w:pPr>
              <w:pStyle w:val="StandardDEEN"/>
              <w:rPr>
                <w:szCs w:val="24"/>
              </w:rPr>
            </w:pPr>
            <w:r w:rsidRPr="00695123">
              <w:t>Sollten die Auditergebnisse</w:t>
            </w:r>
            <w:r w:rsidRPr="00695123">
              <w:rPr>
                <w:szCs w:val="24"/>
              </w:rPr>
              <w:t xml:space="preserve"> eine Bewertung von B oder C ergeben, ist ein Maßnahmenplan zu entwickeln, um die festgestellten Abweichungen abzustellen. </w:t>
            </w:r>
          </w:p>
          <w:p w14:paraId="3B91D290" w14:textId="77777777" w:rsidR="00745A72" w:rsidRPr="00695123" w:rsidRDefault="00FB589B" w:rsidP="001954AE">
            <w:pPr>
              <w:pStyle w:val="StandardDEEN"/>
              <w:rPr>
                <w:szCs w:val="24"/>
              </w:rPr>
            </w:pPr>
            <w:r w:rsidRPr="00695123">
              <w:rPr>
                <w:szCs w:val="24"/>
              </w:rPr>
              <w:t>Der Lieferant wird sicherstellen, dass eigene Unterlieferanten im selb</w:t>
            </w:r>
            <w:r w:rsidR="00872C80" w:rsidRPr="00695123">
              <w:rPr>
                <w:szCs w:val="24"/>
              </w:rPr>
              <w:t>en Maße nach den Vorgaben dieses</w:t>
            </w:r>
            <w:r w:rsidRPr="00695123">
              <w:rPr>
                <w:szCs w:val="24"/>
              </w:rPr>
              <w:t xml:space="preserve"> § 17 verpflichtet werden und KAYSER und Endkunden zu jeder Zeit in der Lage sind, </w:t>
            </w:r>
            <w:r w:rsidR="00745A72" w:rsidRPr="00695123">
              <w:rPr>
                <w:szCs w:val="24"/>
              </w:rPr>
              <w:t>entsprechende</w:t>
            </w:r>
            <w:r w:rsidRPr="00695123">
              <w:rPr>
                <w:szCs w:val="24"/>
              </w:rPr>
              <w:t xml:space="preserve"> Audits vorzunehmen. </w:t>
            </w:r>
          </w:p>
          <w:p w14:paraId="33236868" w14:textId="345E2817" w:rsidR="00745A72" w:rsidRPr="00695123" w:rsidRDefault="00745A72" w:rsidP="001954AE">
            <w:pPr>
              <w:pStyle w:val="StandardDEEN"/>
              <w:rPr>
                <w:szCs w:val="24"/>
              </w:rPr>
            </w:pPr>
            <w:r w:rsidRPr="00695123">
              <w:rPr>
                <w:szCs w:val="24"/>
              </w:rPr>
              <w:t>Der Lieferant wird die geforderten Selbstaudits entlang der Lieferantenkette (</w:t>
            </w:r>
            <w:proofErr w:type="spellStart"/>
            <w:r w:rsidRPr="00695123">
              <w:rPr>
                <w:szCs w:val="24"/>
              </w:rPr>
              <w:t>z.Bsp</w:t>
            </w:r>
            <w:proofErr w:type="spellEnd"/>
            <w:r w:rsidRPr="00695123">
              <w:rPr>
                <w:szCs w:val="24"/>
              </w:rPr>
              <w:t>. Formel-Q</w:t>
            </w:r>
            <w:r w:rsidR="00691307" w:rsidRPr="00695123">
              <w:rPr>
                <w:szCs w:val="24"/>
              </w:rPr>
              <w:t>,</w:t>
            </w:r>
            <w:r w:rsidRPr="00695123">
              <w:rPr>
                <w:szCs w:val="24"/>
              </w:rPr>
              <w:t xml:space="preserve"> CQI, VDA6.3) bei seinen Unterlieferanten einfordern, </w:t>
            </w:r>
            <w:r w:rsidRPr="00695123">
              <w:t xml:space="preserve">und unaufgefordert alle 12 Monate unter </w:t>
            </w:r>
            <w:hyperlink r:id="rId17" w:tgtFrame="_blank" w:tooltip="https://lm24.progo-service.de/" w:history="1">
              <w:r w:rsidRPr="00695123">
                <w:rPr>
                  <w:rStyle w:val="Hyperlink"/>
                  <w:color w:val="auto"/>
                </w:rPr>
                <w:t>https://lm24.progo-service.de</w:t>
              </w:r>
            </w:hyperlink>
            <w:r w:rsidRPr="00695123">
              <w:t xml:space="preserve"> Upload Formular hochzuladen.</w:t>
            </w:r>
          </w:p>
        </w:tc>
        <w:tc>
          <w:tcPr>
            <w:tcW w:w="4934" w:type="dxa"/>
            <w:tcBorders>
              <w:top w:val="nil"/>
              <w:left w:val="nil"/>
              <w:bottom w:val="nil"/>
              <w:right w:val="nil"/>
            </w:tcBorders>
          </w:tcPr>
          <w:p w14:paraId="70691AEC" w14:textId="3BF85150" w:rsidR="001954AE" w:rsidRPr="00695123" w:rsidRDefault="001954AE" w:rsidP="00AB30AD">
            <w:pPr>
              <w:pStyle w:val="berschriftEN1"/>
              <w:numPr>
                <w:ilvl w:val="0"/>
                <w:numId w:val="0"/>
              </w:numPr>
              <w:ind w:left="360" w:hanging="360"/>
              <w:rPr>
                <w:lang w:val="en-US"/>
              </w:rPr>
            </w:pPr>
            <w:bookmarkStart w:id="66" w:name="_Toc492550476"/>
            <w:bookmarkStart w:id="67" w:name="_Toc492643836"/>
            <w:r w:rsidRPr="00695123">
              <w:rPr>
                <w:lang w:val="en-US"/>
              </w:rPr>
              <w:t xml:space="preserve">§ </w:t>
            </w:r>
            <w:r w:rsidR="00A321ED" w:rsidRPr="00695123">
              <w:rPr>
                <w:lang w:val="en-US"/>
              </w:rPr>
              <w:t>23</w:t>
            </w:r>
            <w:r w:rsidRPr="00695123">
              <w:rPr>
                <w:lang w:val="en-US"/>
              </w:rPr>
              <w:t>. Audits</w:t>
            </w:r>
            <w:bookmarkEnd w:id="66"/>
            <w:bookmarkEnd w:id="67"/>
          </w:p>
          <w:p w14:paraId="401ACABD" w14:textId="65CD29ED" w:rsidR="0062060F" w:rsidRPr="00695123" w:rsidRDefault="001954AE" w:rsidP="00957768">
            <w:pPr>
              <w:pStyle w:val="StandardDEEN"/>
              <w:rPr>
                <w:szCs w:val="24"/>
                <w:lang w:val="en-US"/>
              </w:rPr>
            </w:pPr>
            <w:r w:rsidRPr="00695123">
              <w:rPr>
                <w:lang w:val="en-US"/>
              </w:rPr>
              <w:t xml:space="preserve">Kayser </w:t>
            </w:r>
            <w:proofErr w:type="spellStart"/>
            <w:r w:rsidRPr="00695123">
              <w:rPr>
                <w:lang w:val="en-US"/>
              </w:rPr>
              <w:t>recognises</w:t>
            </w:r>
            <w:proofErr w:type="spellEnd"/>
            <w:r w:rsidRPr="00695123">
              <w:rPr>
                <w:lang w:val="en-US"/>
              </w:rPr>
              <w:t xml:space="preserve"> the audit results according to VDA, Volume 6.1/6.3, IATF 16949 and AIAG CQI by approved</w:t>
            </w:r>
            <w:r w:rsidR="00794288" w:rsidRPr="00695123">
              <w:rPr>
                <w:lang w:val="en-US"/>
              </w:rPr>
              <w:t xml:space="preserve"> external</w:t>
            </w:r>
            <w:r w:rsidRPr="00695123">
              <w:rPr>
                <w:lang w:val="en-US"/>
              </w:rPr>
              <w:t xml:space="preserve"> auditors </w:t>
            </w:r>
            <w:proofErr w:type="gramStart"/>
            <w:r w:rsidRPr="00695123">
              <w:rPr>
                <w:lang w:val="en-US"/>
              </w:rPr>
              <w:t>as long as</w:t>
            </w:r>
            <w:proofErr w:type="gramEnd"/>
            <w:r w:rsidRPr="00695123">
              <w:rPr>
                <w:lang w:val="en-US"/>
              </w:rPr>
              <w:t xml:space="preserve"> the results are not older than 3 years. At the same time, however, KAYSER reserves the right to conduct its own supplier assessment by way of auditing</w:t>
            </w:r>
            <w:r w:rsidR="00ED1891" w:rsidRPr="00695123">
              <w:rPr>
                <w:lang w:val="en-US"/>
              </w:rPr>
              <w:t xml:space="preserve"> after a reasonable pre-announcement period</w:t>
            </w:r>
            <w:r w:rsidRPr="00695123">
              <w:rPr>
                <w:szCs w:val="24"/>
                <w:lang w:val="en-US"/>
              </w:rPr>
              <w:t>. Reasons for audits may be as follows, for example</w:t>
            </w:r>
            <w:r w:rsidRPr="00695123">
              <w:rPr>
                <w:szCs w:val="24"/>
                <w:lang w:val="en-GB"/>
              </w:rPr>
              <w:t xml:space="preserve">: a supplier assessment with the result B or C, process acceptances of new products, complaints, acceptance of process changes, etc. The Supplier shall provide </w:t>
            </w:r>
            <w:r w:rsidRPr="00695123">
              <w:rPr>
                <w:rFonts w:cs="HelveticaNeue-Light"/>
                <w:szCs w:val="24"/>
                <w:lang w:val="en-GB"/>
              </w:rPr>
              <w:t>KAYSER</w:t>
            </w:r>
            <w:r w:rsidRPr="00695123">
              <w:rPr>
                <w:szCs w:val="24"/>
                <w:lang w:val="en-GB"/>
              </w:rPr>
              <w:t xml:space="preserve"> and the end customer with access to all relevant production areas and an insight into all production-related documents</w:t>
            </w:r>
            <w:r w:rsidR="00ED1891" w:rsidRPr="00695123">
              <w:rPr>
                <w:szCs w:val="24"/>
                <w:lang w:val="en-GB"/>
              </w:rPr>
              <w:t xml:space="preserve"> while adhering to </w:t>
            </w:r>
            <w:proofErr w:type="spellStart"/>
            <w:r w:rsidR="00ED1891" w:rsidRPr="00695123">
              <w:rPr>
                <w:szCs w:val="24"/>
                <w:lang w:val="en-GB"/>
              </w:rPr>
              <w:t>statuatory</w:t>
            </w:r>
            <w:proofErr w:type="spellEnd"/>
            <w:r w:rsidR="00ED1891" w:rsidRPr="00695123">
              <w:rPr>
                <w:szCs w:val="24"/>
                <w:lang w:val="en-GB"/>
              </w:rPr>
              <w:t xml:space="preserve"> provisions and </w:t>
            </w:r>
            <w:proofErr w:type="gramStart"/>
            <w:r w:rsidR="00ED1891" w:rsidRPr="00695123">
              <w:rPr>
                <w:szCs w:val="24"/>
                <w:lang w:val="en-GB"/>
              </w:rPr>
              <w:t>taking into account</w:t>
            </w:r>
            <w:proofErr w:type="gramEnd"/>
            <w:r w:rsidR="00ED1891" w:rsidRPr="00695123">
              <w:rPr>
                <w:szCs w:val="24"/>
                <w:lang w:val="en-GB"/>
              </w:rPr>
              <w:t xml:space="preserve"> potential adverse </w:t>
            </w:r>
            <w:proofErr w:type="spellStart"/>
            <w:r w:rsidR="00ED1891" w:rsidRPr="00695123">
              <w:rPr>
                <w:szCs w:val="24"/>
                <w:lang w:val="en-GB"/>
              </w:rPr>
              <w:t>confidentialty</w:t>
            </w:r>
            <w:proofErr w:type="spellEnd"/>
            <w:r w:rsidR="00ED1891" w:rsidRPr="00695123">
              <w:rPr>
                <w:szCs w:val="24"/>
                <w:lang w:val="en-GB"/>
              </w:rPr>
              <w:t xml:space="preserve"> agreements the Supplier has concluded</w:t>
            </w:r>
            <w:r w:rsidRPr="00695123">
              <w:rPr>
                <w:szCs w:val="24"/>
                <w:lang w:val="en-GB"/>
              </w:rPr>
              <w:t>. The Supplier shall independently conduct a process and system au</w:t>
            </w:r>
            <w:r w:rsidR="00794288" w:rsidRPr="00695123">
              <w:rPr>
                <w:szCs w:val="24"/>
                <w:lang w:val="en-GB"/>
              </w:rPr>
              <w:t>dit for every</w:t>
            </w:r>
            <w:r w:rsidRPr="00695123">
              <w:rPr>
                <w:szCs w:val="24"/>
                <w:lang w:val="en-GB"/>
              </w:rPr>
              <w:t xml:space="preserve"> product group at least once a year. </w:t>
            </w:r>
            <w:r w:rsidRPr="00695123">
              <w:rPr>
                <w:szCs w:val="24"/>
                <w:lang w:val="en-US"/>
              </w:rPr>
              <w:t xml:space="preserve">The audits shall be based on the requirements of the IATF 16949, VDA </w:t>
            </w:r>
            <w:r w:rsidR="00ED1891" w:rsidRPr="00695123">
              <w:rPr>
                <w:szCs w:val="24"/>
                <w:lang w:val="en-US"/>
              </w:rPr>
              <w:t xml:space="preserve">Vol. </w:t>
            </w:r>
            <w:r w:rsidRPr="00695123">
              <w:rPr>
                <w:szCs w:val="24"/>
                <w:lang w:val="en-US"/>
              </w:rPr>
              <w:t>6.3 as well as the customer-specific requirements of the respective OEM</w:t>
            </w:r>
            <w:r w:rsidR="000A572D" w:rsidRPr="00695123">
              <w:rPr>
                <w:szCs w:val="24"/>
                <w:lang w:val="en-US"/>
              </w:rPr>
              <w:t xml:space="preserve"> (e.g. Form</w:t>
            </w:r>
            <w:r w:rsidR="009C5039" w:rsidRPr="00695123">
              <w:rPr>
                <w:szCs w:val="24"/>
                <w:lang w:val="en-US"/>
              </w:rPr>
              <w:t>el</w:t>
            </w:r>
            <w:r w:rsidR="000A572D" w:rsidRPr="00695123">
              <w:rPr>
                <w:szCs w:val="24"/>
                <w:lang w:val="en-US"/>
              </w:rPr>
              <w:t>-Q, CQI etc.)</w:t>
            </w:r>
            <w:r w:rsidRPr="00695123">
              <w:rPr>
                <w:szCs w:val="24"/>
                <w:lang w:val="en-US"/>
              </w:rPr>
              <w:t xml:space="preserve"> (see </w:t>
            </w:r>
            <w:r>
              <w:fldChar w:fldCharType="begin"/>
            </w:r>
            <w:r>
              <w:instrText>HYPERLINK "http://www.vda-qmc.de"</w:instrText>
            </w:r>
            <w:r>
              <w:fldChar w:fldCharType="separate"/>
            </w:r>
            <w:r w:rsidRPr="00695123">
              <w:rPr>
                <w:rStyle w:val="Hyperlink"/>
                <w:color w:val="auto"/>
                <w:szCs w:val="24"/>
                <w:lang w:val="en-US"/>
              </w:rPr>
              <w:t>www.vda-qmc.de</w:t>
            </w:r>
            <w:r>
              <w:fldChar w:fldCharType="end"/>
            </w:r>
            <w:r w:rsidRPr="00695123">
              <w:rPr>
                <w:szCs w:val="24"/>
                <w:lang w:val="en-US"/>
              </w:rPr>
              <w:t xml:space="preserve"> and AIAG CQI). </w:t>
            </w:r>
          </w:p>
          <w:p w14:paraId="69B0402F" w14:textId="3BF7681A" w:rsidR="0062060F" w:rsidRPr="00695123" w:rsidRDefault="00D023B7" w:rsidP="00957768">
            <w:pPr>
              <w:pStyle w:val="StandardDEEN"/>
              <w:rPr>
                <w:lang w:val="en-US"/>
              </w:rPr>
            </w:pPr>
            <w:r w:rsidRPr="00695123">
              <w:rPr>
                <w:lang w:val="en-US"/>
              </w:rPr>
              <w:br/>
            </w:r>
            <w:r w:rsidRPr="00695123">
              <w:rPr>
                <w:lang w:val="en-US"/>
              </w:rPr>
              <w:br/>
            </w:r>
            <w:r w:rsidRPr="00695123">
              <w:rPr>
                <w:lang w:val="en-US"/>
              </w:rPr>
              <w:br/>
            </w:r>
            <w:r w:rsidR="0062060F" w:rsidRPr="00695123">
              <w:rPr>
                <w:lang w:val="en-US"/>
              </w:rPr>
              <w:t>The process</w:t>
            </w:r>
            <w:r w:rsidR="00FF5336" w:rsidRPr="00695123">
              <w:rPr>
                <w:lang w:val="en-US"/>
              </w:rPr>
              <w:t xml:space="preserve">- </w:t>
            </w:r>
            <w:r w:rsidR="0062060F" w:rsidRPr="00695123">
              <w:rPr>
                <w:lang w:val="en-US"/>
              </w:rPr>
              <w:t>product</w:t>
            </w:r>
            <w:r w:rsidR="00FF5336" w:rsidRPr="00695123">
              <w:rPr>
                <w:lang w:val="en-US"/>
              </w:rPr>
              <w:t>- and</w:t>
            </w:r>
            <w:r w:rsidR="0062060F" w:rsidRPr="00695123">
              <w:rPr>
                <w:lang w:val="en-US"/>
              </w:rPr>
              <w:t xml:space="preserve"> self-audits to be carried out, which are subject to the requirements of the AIAG - CQI standards; Fo</w:t>
            </w:r>
            <w:r w:rsidR="00BA5325" w:rsidRPr="00695123">
              <w:rPr>
                <w:lang w:val="en-US"/>
              </w:rPr>
              <w:t>rmel</w:t>
            </w:r>
            <w:r w:rsidR="0062060F" w:rsidRPr="00695123">
              <w:rPr>
                <w:lang w:val="en-US"/>
              </w:rPr>
              <w:t>-Q;</w:t>
            </w:r>
            <w:r w:rsidR="006706D5" w:rsidRPr="00695123">
              <w:rPr>
                <w:lang w:val="en-US"/>
              </w:rPr>
              <w:t xml:space="preserve"> TLD; D-parts;</w:t>
            </w:r>
            <w:r w:rsidR="0062060F" w:rsidRPr="00695123">
              <w:rPr>
                <w:lang w:val="en-US"/>
              </w:rPr>
              <w:t xml:space="preserve"> VDA6.3, must be documented in accordance with the definition in the</w:t>
            </w:r>
            <w:r w:rsidR="001005DE" w:rsidRPr="00695123">
              <w:rPr>
                <w:lang w:val="en-US"/>
              </w:rPr>
              <w:t xml:space="preserve"> PP</w:t>
            </w:r>
            <w:r w:rsidR="002545A6" w:rsidRPr="00695123">
              <w:rPr>
                <w:lang w:val="en-US"/>
              </w:rPr>
              <w:t>A-</w:t>
            </w:r>
            <w:r w:rsidR="001005DE" w:rsidRPr="00695123">
              <w:rPr>
                <w:lang w:val="en-US"/>
              </w:rPr>
              <w:t>agreement</w:t>
            </w:r>
            <w:r w:rsidR="00BA5325" w:rsidRPr="00695123">
              <w:rPr>
                <w:lang w:val="en-US"/>
              </w:rPr>
              <w:t xml:space="preserve"> </w:t>
            </w:r>
            <w:r w:rsidR="0062060F" w:rsidRPr="00695123">
              <w:rPr>
                <w:lang w:val="en-US"/>
              </w:rPr>
              <w:t xml:space="preserve">and the corresponding self-assessments must be uploaded immediately and unsolicited every 12 months under </w:t>
            </w:r>
            <w:r w:rsidR="0062060F">
              <w:fldChar w:fldCharType="begin"/>
            </w:r>
            <w:r w:rsidR="0062060F">
              <w:instrText>HYPERLINK "https://lm24.progo-service.de" \t "_blank" \o "https://lm24.progo-service.de/"</w:instrText>
            </w:r>
            <w:r w:rsidR="0062060F">
              <w:fldChar w:fldCharType="separate"/>
            </w:r>
            <w:r w:rsidR="0062060F" w:rsidRPr="00695123">
              <w:rPr>
                <w:rStyle w:val="Hyperlink"/>
                <w:color w:val="auto"/>
                <w:lang w:val="en-US"/>
              </w:rPr>
              <w:t>https://lm24.progo-service.de</w:t>
            </w:r>
            <w:r w:rsidR="0062060F">
              <w:fldChar w:fldCharType="end"/>
            </w:r>
            <w:r w:rsidR="0062060F" w:rsidRPr="00695123">
              <w:rPr>
                <w:lang w:val="en-US"/>
              </w:rPr>
              <w:t xml:space="preserve"> upload form.</w:t>
            </w:r>
          </w:p>
          <w:p w14:paraId="65CA2FAA" w14:textId="77777777" w:rsidR="0057796A" w:rsidRPr="00695123" w:rsidRDefault="001954AE" w:rsidP="00957768">
            <w:pPr>
              <w:pStyle w:val="StandardDEEN"/>
              <w:rPr>
                <w:szCs w:val="24"/>
                <w:lang w:val="en-US"/>
              </w:rPr>
            </w:pPr>
            <w:r w:rsidRPr="00695123">
              <w:rPr>
                <w:szCs w:val="24"/>
                <w:lang w:val="en-US"/>
              </w:rPr>
              <w:t xml:space="preserve">Should the audit results produce an assessment of B or C, a measures plan must be developed and any deviations determined must be remedied. </w:t>
            </w:r>
          </w:p>
          <w:p w14:paraId="320D87C9" w14:textId="7D288766" w:rsidR="00FB589B" w:rsidRPr="00695123" w:rsidRDefault="00D023B7" w:rsidP="00957768">
            <w:pPr>
              <w:pStyle w:val="StandardDEEN"/>
              <w:rPr>
                <w:szCs w:val="24"/>
                <w:lang w:val="en-US"/>
              </w:rPr>
            </w:pPr>
            <w:r w:rsidRPr="00695123">
              <w:rPr>
                <w:szCs w:val="24"/>
                <w:lang w:val="en-US"/>
              </w:rPr>
              <w:br/>
            </w:r>
            <w:r w:rsidR="00FB589B" w:rsidRPr="00695123">
              <w:rPr>
                <w:szCs w:val="24"/>
                <w:lang w:val="en-US"/>
              </w:rPr>
              <w:t xml:space="preserve">The Supplier will ensure that its own suppliers are obliged to </w:t>
            </w:r>
            <w:proofErr w:type="spellStart"/>
            <w:r w:rsidR="00FB589B" w:rsidRPr="00695123">
              <w:rPr>
                <w:szCs w:val="24"/>
                <w:lang w:val="en-US"/>
              </w:rPr>
              <w:t>followi</w:t>
            </w:r>
            <w:proofErr w:type="spellEnd"/>
            <w:r w:rsidR="00FB589B" w:rsidRPr="00695123">
              <w:rPr>
                <w:szCs w:val="24"/>
                <w:lang w:val="en-US"/>
              </w:rPr>
              <w:t xml:space="preserve"> the requirements of this § 17 </w:t>
            </w:r>
            <w:r w:rsidR="00A5121F" w:rsidRPr="00695123">
              <w:rPr>
                <w:szCs w:val="24"/>
                <w:lang w:val="en-US"/>
              </w:rPr>
              <w:t xml:space="preserve">in the same manner as itself and that KAYSER or the final customer is at any time capable of conducting audits. </w:t>
            </w:r>
          </w:p>
          <w:p w14:paraId="18936BEB" w14:textId="16DF55AF" w:rsidR="006A2439" w:rsidRPr="00695123" w:rsidRDefault="00D023B7" w:rsidP="00957768">
            <w:pPr>
              <w:pStyle w:val="StandardDEEN"/>
              <w:rPr>
                <w:szCs w:val="24"/>
                <w:lang w:val="en-US"/>
              </w:rPr>
            </w:pPr>
            <w:r w:rsidRPr="00695123">
              <w:rPr>
                <w:szCs w:val="24"/>
                <w:lang w:val="en-US"/>
              </w:rPr>
              <w:br/>
            </w:r>
            <w:r w:rsidR="006A2439" w:rsidRPr="00695123">
              <w:rPr>
                <w:szCs w:val="24"/>
                <w:lang w:val="en-US"/>
              </w:rPr>
              <w:t>The supplier shall request the required self-audits along the supply chain (e.g. Formel-Q</w:t>
            </w:r>
            <w:r w:rsidR="00691307" w:rsidRPr="00695123">
              <w:rPr>
                <w:szCs w:val="24"/>
                <w:lang w:val="en-US"/>
              </w:rPr>
              <w:t>,</w:t>
            </w:r>
            <w:r w:rsidR="006A2439" w:rsidRPr="00695123">
              <w:rPr>
                <w:szCs w:val="24"/>
                <w:lang w:val="en-US"/>
              </w:rPr>
              <w:t xml:space="preserve"> CQI, VDA6.3) from its sub-suppliers and upload them unsolicited every 12 months at </w:t>
            </w:r>
            <w:r w:rsidR="00FB193B">
              <w:fldChar w:fldCharType="begin"/>
            </w:r>
            <w:r w:rsidR="00FB193B">
              <w:instrText>HYPERLINK "https://lm24.progo-service.de" \t "_blank" \o "https://lm24.progo-service.de/"</w:instrText>
            </w:r>
            <w:r w:rsidR="00FB193B">
              <w:fldChar w:fldCharType="separate"/>
            </w:r>
            <w:r w:rsidR="00FB193B" w:rsidRPr="00695123">
              <w:rPr>
                <w:rStyle w:val="Hyperlink"/>
                <w:color w:val="auto"/>
                <w:lang w:val="en-US"/>
              </w:rPr>
              <w:t>https://lm24.progo-service.de</w:t>
            </w:r>
            <w:r w:rsidR="00FB193B">
              <w:fldChar w:fldCharType="end"/>
            </w:r>
            <w:r w:rsidR="00FB193B" w:rsidRPr="00695123">
              <w:rPr>
                <w:lang w:val="en-US"/>
              </w:rPr>
              <w:t xml:space="preserve"> </w:t>
            </w:r>
            <w:r w:rsidR="006A2439" w:rsidRPr="00695123">
              <w:rPr>
                <w:szCs w:val="24"/>
                <w:lang w:val="en-US"/>
              </w:rPr>
              <w:t>upload form.</w:t>
            </w:r>
          </w:p>
        </w:tc>
      </w:tr>
      <w:tr w:rsidR="00695123" w:rsidRPr="00695123" w14:paraId="31D2A828" w14:textId="77777777" w:rsidTr="00AD39CE">
        <w:tc>
          <w:tcPr>
            <w:tcW w:w="4988" w:type="dxa"/>
            <w:tcBorders>
              <w:top w:val="nil"/>
              <w:left w:val="nil"/>
              <w:bottom w:val="nil"/>
              <w:right w:val="nil"/>
            </w:tcBorders>
          </w:tcPr>
          <w:p w14:paraId="12FD6E3E" w14:textId="589E9AAF" w:rsidR="0057796A" w:rsidRPr="00695123" w:rsidRDefault="0057796A" w:rsidP="001954AE">
            <w:pPr>
              <w:pStyle w:val="berschrift1"/>
              <w:numPr>
                <w:ilvl w:val="0"/>
                <w:numId w:val="0"/>
              </w:numPr>
              <w:ind w:left="357" w:hanging="357"/>
            </w:pPr>
            <w:bookmarkStart w:id="68" w:name="_Toc492627356"/>
            <w:bookmarkStart w:id="69" w:name="_Toc492643837"/>
            <w:r w:rsidRPr="00695123">
              <w:t xml:space="preserve">§ </w:t>
            </w:r>
            <w:r w:rsidR="009A3350" w:rsidRPr="00695123">
              <w:t>24</w:t>
            </w:r>
            <w:r w:rsidRPr="00695123">
              <w:t>. Rückrufpflicht</w:t>
            </w:r>
            <w:bookmarkEnd w:id="68"/>
            <w:bookmarkEnd w:id="69"/>
          </w:p>
          <w:p w14:paraId="1F7B02FD" w14:textId="77777777" w:rsidR="0057796A" w:rsidRPr="00695123" w:rsidRDefault="0057796A" w:rsidP="00872C80">
            <w:pPr>
              <w:pStyle w:val="StandardDEEN"/>
            </w:pPr>
            <w:r w:rsidRPr="00695123">
              <w:t xml:space="preserve">Erkennt der </w:t>
            </w:r>
            <w:r w:rsidR="00872C80" w:rsidRPr="00695123">
              <w:t xml:space="preserve">Lieferant </w:t>
            </w:r>
            <w:r w:rsidRPr="00695123">
              <w:t xml:space="preserve">Fehler an bereits an </w:t>
            </w:r>
            <w:r w:rsidRPr="00695123">
              <w:rPr>
                <w:rFonts w:cs="HelveticaNeue-Light"/>
                <w:szCs w:val="24"/>
              </w:rPr>
              <w:t>KAYSER</w:t>
            </w:r>
            <w:r w:rsidRPr="00695123">
              <w:t xml:space="preserve"> ausgelieferte</w:t>
            </w:r>
            <w:r w:rsidR="00ED1891" w:rsidRPr="00695123">
              <w:t>r</w:t>
            </w:r>
            <w:r w:rsidRPr="00695123">
              <w:t xml:space="preserve"> Ware, so hat er die Verpflichtung zu unverzüglicher Information, Rückruf der Ware</w:t>
            </w:r>
            <w:r w:rsidR="00872C80" w:rsidRPr="00695123">
              <w:t xml:space="preserve"> gegenüber KAYSER</w:t>
            </w:r>
            <w:r w:rsidRPr="00695123">
              <w:t xml:space="preserve"> und fehlerfreier Ersatzlieferung. Alle dadurch entstehenden Kosten gehen zu Lasten des Lieferanten. Dies gilt auch für bereits durch </w:t>
            </w:r>
            <w:r w:rsidRPr="00695123">
              <w:rPr>
                <w:rFonts w:cs="HelveticaNeue-Light"/>
                <w:szCs w:val="24"/>
              </w:rPr>
              <w:t>KAYSER</w:t>
            </w:r>
            <w:r w:rsidRPr="00695123">
              <w:t xml:space="preserve"> an den Endkunden gelieferte Produkte.</w:t>
            </w:r>
          </w:p>
        </w:tc>
        <w:tc>
          <w:tcPr>
            <w:tcW w:w="4934" w:type="dxa"/>
            <w:tcBorders>
              <w:top w:val="nil"/>
              <w:left w:val="nil"/>
              <w:bottom w:val="nil"/>
              <w:right w:val="nil"/>
            </w:tcBorders>
          </w:tcPr>
          <w:p w14:paraId="4D2E5BCE" w14:textId="0429720C" w:rsidR="001954AE" w:rsidRPr="00695123" w:rsidRDefault="001954AE" w:rsidP="00AB30AD">
            <w:pPr>
              <w:pStyle w:val="berschriftEN1"/>
              <w:numPr>
                <w:ilvl w:val="0"/>
                <w:numId w:val="0"/>
              </w:numPr>
              <w:ind w:left="360" w:hanging="360"/>
              <w:rPr>
                <w:lang w:val="en-US"/>
              </w:rPr>
            </w:pPr>
            <w:bookmarkStart w:id="70" w:name="_Toc492550477"/>
            <w:bookmarkStart w:id="71" w:name="_Toc492643838"/>
            <w:r w:rsidRPr="00695123">
              <w:rPr>
                <w:lang w:val="en-US"/>
              </w:rPr>
              <w:t xml:space="preserve">§ </w:t>
            </w:r>
            <w:r w:rsidR="009A3350" w:rsidRPr="00695123">
              <w:rPr>
                <w:lang w:val="en-US"/>
              </w:rPr>
              <w:t>24</w:t>
            </w:r>
            <w:r w:rsidRPr="00695123">
              <w:rPr>
                <w:lang w:val="en-US"/>
              </w:rPr>
              <w:t>. Recall duty</w:t>
            </w:r>
            <w:bookmarkEnd w:id="70"/>
            <w:bookmarkEnd w:id="71"/>
          </w:p>
          <w:p w14:paraId="0684DB03" w14:textId="77777777" w:rsidR="0057796A" w:rsidRPr="00695123" w:rsidRDefault="001954AE" w:rsidP="00957768">
            <w:pPr>
              <w:pStyle w:val="StandardDEEN"/>
              <w:rPr>
                <w:lang w:val="en-GB"/>
              </w:rPr>
            </w:pPr>
            <w:r w:rsidRPr="00695123">
              <w:rPr>
                <w:lang w:val="en-GB"/>
              </w:rPr>
              <w:t>If the Supplier recognises defect to goods which have already been delivered to KAYSER, it must immediately advise of this, recall the goods</w:t>
            </w:r>
            <w:r w:rsidR="00872C80" w:rsidRPr="00695123">
              <w:rPr>
                <w:lang w:val="en-GB"/>
              </w:rPr>
              <w:t xml:space="preserve"> towards</w:t>
            </w:r>
            <w:r w:rsidRPr="00695123">
              <w:rPr>
                <w:lang w:val="en-GB"/>
              </w:rPr>
              <w:t xml:space="preserve"> and provide a fault-free replacement delivery. All resultant costs shall be borne by the Supplier. This shall also apply to products which have already been supplied by KAYSER to the end customer.</w:t>
            </w:r>
          </w:p>
        </w:tc>
      </w:tr>
      <w:tr w:rsidR="00695123" w:rsidRPr="00695123" w14:paraId="70B8840E" w14:textId="77777777" w:rsidTr="00AD39CE">
        <w:tc>
          <w:tcPr>
            <w:tcW w:w="4988" w:type="dxa"/>
            <w:tcBorders>
              <w:top w:val="nil"/>
              <w:left w:val="nil"/>
              <w:bottom w:val="nil"/>
              <w:right w:val="nil"/>
            </w:tcBorders>
          </w:tcPr>
          <w:p w14:paraId="7989C47E" w14:textId="7F1585B7" w:rsidR="0057796A" w:rsidRPr="00695123" w:rsidRDefault="0057796A" w:rsidP="001954AE">
            <w:pPr>
              <w:pStyle w:val="berschrift1"/>
              <w:numPr>
                <w:ilvl w:val="0"/>
                <w:numId w:val="0"/>
              </w:numPr>
              <w:ind w:left="357" w:hanging="357"/>
            </w:pPr>
            <w:bookmarkStart w:id="72" w:name="_Toc492627357"/>
            <w:bookmarkStart w:id="73" w:name="_Toc492643839"/>
            <w:r w:rsidRPr="00695123">
              <w:t xml:space="preserve">§ </w:t>
            </w:r>
            <w:r w:rsidR="009A3350" w:rsidRPr="00695123">
              <w:t>25</w:t>
            </w:r>
            <w:r w:rsidRPr="00695123">
              <w:t>. Geheimhaltung</w:t>
            </w:r>
            <w:bookmarkEnd w:id="72"/>
            <w:bookmarkEnd w:id="73"/>
          </w:p>
          <w:p w14:paraId="35441E4B" w14:textId="77777777" w:rsidR="0057796A" w:rsidRPr="00695123" w:rsidRDefault="0057796A" w:rsidP="001954AE">
            <w:pPr>
              <w:pStyle w:val="StandardDEEN"/>
            </w:pPr>
            <w:r w:rsidRPr="00695123">
              <w:t xml:space="preserve">Der Lieferant und KAYSER verpflichten sich, die wechselseitig erhaltenen Informationen, die im Zusammenhang mit dieser Vereinbarung stehen, vertraulich zu behandeln und in keiner Weise Dritten zugänglich zu machen. Diese Verpflichtung beginnt mit dem erstmaligen Erhalt der geheimhaltungsbedürftigen Information </w:t>
            </w:r>
            <w:r w:rsidR="00872C80" w:rsidRPr="00695123">
              <w:t xml:space="preserve">und </w:t>
            </w:r>
            <w:r w:rsidR="00FE6134" w:rsidRPr="00695123">
              <w:t xml:space="preserve">besteht auch nach </w:t>
            </w:r>
            <w:r w:rsidRPr="00695123">
              <w:t>Ende dieser Vereinbarung</w:t>
            </w:r>
            <w:r w:rsidR="00872C80" w:rsidRPr="00695123">
              <w:t xml:space="preserve"> weiter</w:t>
            </w:r>
            <w:r w:rsidRPr="00695123">
              <w:t xml:space="preserve">. </w:t>
            </w:r>
          </w:p>
          <w:p w14:paraId="114AFB4A" w14:textId="121E8588" w:rsidR="0057796A" w:rsidRPr="00695123" w:rsidRDefault="0057796A" w:rsidP="001954AE">
            <w:pPr>
              <w:pStyle w:val="StandardDEEN"/>
            </w:pPr>
            <w:r w:rsidRPr="00695123">
              <w:t>Eine Verpflichtung zur Vertraulichkeit besteht nicht, wenn es sich um allgemein</w:t>
            </w:r>
            <w:r w:rsidR="00872C80" w:rsidRPr="00695123">
              <w:t xml:space="preserve"> bekannte</w:t>
            </w:r>
            <w:r w:rsidR="00B31151" w:rsidRPr="00695123">
              <w:t xml:space="preserve"> </w:t>
            </w:r>
            <w:r w:rsidRPr="00695123">
              <w:t xml:space="preserve">Kenntnisse handelt oder um solche, die dem anderen Partner nachweislich vorher </w:t>
            </w:r>
            <w:r w:rsidR="00FE6134" w:rsidRPr="00695123">
              <w:t>be</w:t>
            </w:r>
            <w:r w:rsidRPr="00695123">
              <w:t xml:space="preserve">kannt </w:t>
            </w:r>
            <w:r w:rsidR="00FE6134" w:rsidRPr="00695123">
              <w:t>oder öffentlich zugänglich sind</w:t>
            </w:r>
            <w:r w:rsidRPr="00695123">
              <w:t>.</w:t>
            </w:r>
          </w:p>
          <w:p w14:paraId="049709C6" w14:textId="5AB30E8B" w:rsidR="00FE6134" w:rsidRPr="00695123" w:rsidRDefault="00FE6134" w:rsidP="001954AE">
            <w:pPr>
              <w:pStyle w:val="StandardDEEN"/>
            </w:pPr>
            <w:r w:rsidRPr="00695123">
              <w:t xml:space="preserve">Die Verpflichtung zur </w:t>
            </w:r>
            <w:r w:rsidR="00AD7529" w:rsidRPr="00695123">
              <w:t>Geheimhaltung</w:t>
            </w:r>
            <w:r w:rsidRPr="00695123">
              <w:t xml:space="preserve"> erstreckt sich auf eigene Mitarbeiter sowie auf Dritte, die zur Erfüllung dieser Vereinbarung Zugang </w:t>
            </w:r>
            <w:proofErr w:type="gramStart"/>
            <w:r w:rsidRPr="00695123">
              <w:t>zu geheimen Information</w:t>
            </w:r>
            <w:proofErr w:type="gramEnd"/>
            <w:r w:rsidRPr="00695123">
              <w:t xml:space="preserve"> bekommen. Im Übrigen gilt die zwischen den Parteien vereinbarte Geheimhaltungsvereinbarung. </w:t>
            </w:r>
          </w:p>
        </w:tc>
        <w:tc>
          <w:tcPr>
            <w:tcW w:w="4934" w:type="dxa"/>
            <w:tcBorders>
              <w:top w:val="nil"/>
              <w:left w:val="nil"/>
              <w:bottom w:val="nil"/>
              <w:right w:val="nil"/>
            </w:tcBorders>
          </w:tcPr>
          <w:p w14:paraId="315E93C6" w14:textId="61EC2F27" w:rsidR="001954AE" w:rsidRPr="00695123" w:rsidRDefault="001954AE" w:rsidP="00AB30AD">
            <w:pPr>
              <w:pStyle w:val="berschriftEN1"/>
              <w:numPr>
                <w:ilvl w:val="0"/>
                <w:numId w:val="0"/>
              </w:numPr>
              <w:ind w:left="360" w:hanging="360"/>
              <w:rPr>
                <w:lang w:val="en-US"/>
              </w:rPr>
            </w:pPr>
            <w:bookmarkStart w:id="74" w:name="_Toc492550478"/>
            <w:bookmarkStart w:id="75" w:name="_Toc492643840"/>
            <w:r w:rsidRPr="00695123">
              <w:rPr>
                <w:lang w:val="en-US"/>
              </w:rPr>
              <w:t xml:space="preserve">§ </w:t>
            </w:r>
            <w:r w:rsidR="009A3350" w:rsidRPr="00695123">
              <w:rPr>
                <w:lang w:val="en-US"/>
              </w:rPr>
              <w:t>25</w:t>
            </w:r>
            <w:r w:rsidRPr="00695123">
              <w:rPr>
                <w:lang w:val="en-US"/>
              </w:rPr>
              <w:t>. Confidentiality</w:t>
            </w:r>
            <w:bookmarkEnd w:id="74"/>
            <w:bookmarkEnd w:id="75"/>
          </w:p>
          <w:p w14:paraId="1457D82B" w14:textId="77777777" w:rsidR="001954AE" w:rsidRPr="00695123" w:rsidRDefault="001954AE" w:rsidP="00957768">
            <w:pPr>
              <w:pStyle w:val="StandardDEEN"/>
              <w:rPr>
                <w:lang w:val="en-GB"/>
              </w:rPr>
            </w:pPr>
            <w:r w:rsidRPr="00695123">
              <w:rPr>
                <w:lang w:val="en-US"/>
              </w:rPr>
              <w:t xml:space="preserve">The Supplier and KAYSER undertake to treat the information they each receive in connection with this Agreement in confidentiality and in no way to make it accessible to third parties. This obligation shall start the </w:t>
            </w:r>
            <w:proofErr w:type="gramStart"/>
            <w:r w:rsidRPr="00695123">
              <w:rPr>
                <w:lang w:val="en-US"/>
              </w:rPr>
              <w:t>first time</w:t>
            </w:r>
            <w:proofErr w:type="gramEnd"/>
            <w:r w:rsidRPr="00695123">
              <w:rPr>
                <w:lang w:val="en-US"/>
              </w:rPr>
              <w:t xml:space="preserve"> confidential information is received and </w:t>
            </w:r>
            <w:r w:rsidR="00FE6134" w:rsidRPr="00695123">
              <w:rPr>
                <w:lang w:val="en-US"/>
              </w:rPr>
              <w:t xml:space="preserve">continues to exist </w:t>
            </w:r>
            <w:r w:rsidRPr="00695123">
              <w:rPr>
                <w:lang w:val="en-US"/>
              </w:rPr>
              <w:t>after the end of this Agreement</w:t>
            </w:r>
            <w:r w:rsidRPr="00695123">
              <w:rPr>
                <w:lang w:val="en-GB"/>
              </w:rPr>
              <w:t xml:space="preserve">. </w:t>
            </w:r>
          </w:p>
          <w:p w14:paraId="090C96CE" w14:textId="77777777" w:rsidR="00AB30AD" w:rsidRPr="00695123" w:rsidRDefault="00AB30AD" w:rsidP="00957768">
            <w:pPr>
              <w:pStyle w:val="StandardDEEN"/>
              <w:rPr>
                <w:lang w:val="en-GB"/>
              </w:rPr>
            </w:pPr>
          </w:p>
          <w:p w14:paraId="4302249E" w14:textId="77777777" w:rsidR="0057796A" w:rsidRPr="00695123" w:rsidRDefault="001954AE" w:rsidP="00957768">
            <w:pPr>
              <w:pStyle w:val="StandardDEEN"/>
              <w:rPr>
                <w:lang w:val="en-US"/>
              </w:rPr>
            </w:pPr>
            <w:r w:rsidRPr="00695123">
              <w:rPr>
                <w:lang w:val="en-US"/>
              </w:rPr>
              <w:t>There shall be no duty to maintain confidentiality if the information is of a general nature and was demonstrably known to the other party beforehand</w:t>
            </w:r>
            <w:r w:rsidR="00FE6134" w:rsidRPr="00695123">
              <w:rPr>
                <w:lang w:val="en-US"/>
              </w:rPr>
              <w:t xml:space="preserve"> or is publicly accessible</w:t>
            </w:r>
            <w:r w:rsidRPr="00695123">
              <w:rPr>
                <w:lang w:val="en-US"/>
              </w:rPr>
              <w:t>.</w:t>
            </w:r>
          </w:p>
          <w:p w14:paraId="44439BB0" w14:textId="10E6D758" w:rsidR="00FE6134" w:rsidRPr="00695123" w:rsidRDefault="00D023B7" w:rsidP="00957768">
            <w:pPr>
              <w:pStyle w:val="StandardDEEN"/>
              <w:rPr>
                <w:lang w:val="en-US"/>
              </w:rPr>
            </w:pPr>
            <w:r w:rsidRPr="00695123">
              <w:rPr>
                <w:lang w:val="en-US"/>
              </w:rPr>
              <w:br/>
            </w:r>
            <w:r w:rsidR="00FE6134" w:rsidRPr="00695123">
              <w:rPr>
                <w:lang w:val="en-US"/>
              </w:rPr>
              <w:t xml:space="preserve">The obligation to maintain secrecy extends to employees of the Supplier and third parties which have gained </w:t>
            </w:r>
            <w:proofErr w:type="spellStart"/>
            <w:r w:rsidR="00FE6134" w:rsidRPr="00695123">
              <w:rPr>
                <w:lang w:val="en-US"/>
              </w:rPr>
              <w:t>acced</w:t>
            </w:r>
            <w:proofErr w:type="spellEnd"/>
            <w:r w:rsidR="00FE6134" w:rsidRPr="00695123">
              <w:rPr>
                <w:lang w:val="en-US"/>
              </w:rPr>
              <w:t xml:space="preserve"> to trade secrets </w:t>
            </w:r>
            <w:proofErr w:type="gramStart"/>
            <w:r w:rsidR="00FE6134" w:rsidRPr="00695123">
              <w:rPr>
                <w:lang w:val="en-US"/>
              </w:rPr>
              <w:t>in the course of</w:t>
            </w:r>
            <w:proofErr w:type="gramEnd"/>
            <w:r w:rsidR="00FE6134" w:rsidRPr="00695123">
              <w:rPr>
                <w:lang w:val="en-US"/>
              </w:rPr>
              <w:t xml:space="preserve"> the fulfilment of this agreement. Furthermore, the non-disclosure agreement agreed upon between the parties shall apply. </w:t>
            </w:r>
          </w:p>
        </w:tc>
      </w:tr>
      <w:tr w:rsidR="00695123" w:rsidRPr="00695123" w14:paraId="651E33B7" w14:textId="77777777" w:rsidTr="00AD39CE">
        <w:tc>
          <w:tcPr>
            <w:tcW w:w="4988" w:type="dxa"/>
            <w:tcBorders>
              <w:top w:val="nil"/>
              <w:left w:val="nil"/>
              <w:bottom w:val="nil"/>
              <w:right w:val="nil"/>
            </w:tcBorders>
          </w:tcPr>
          <w:p w14:paraId="71AEF41C" w14:textId="0C2ACF96" w:rsidR="0057796A" w:rsidRPr="00695123" w:rsidRDefault="0057796A" w:rsidP="00B7318F">
            <w:pPr>
              <w:pStyle w:val="berschrift1"/>
              <w:numPr>
                <w:ilvl w:val="0"/>
                <w:numId w:val="0"/>
              </w:numPr>
              <w:ind w:left="737" w:hanging="737"/>
            </w:pPr>
            <w:bookmarkStart w:id="76" w:name="_Toc492627358"/>
            <w:bookmarkStart w:id="77" w:name="_Toc492643841"/>
            <w:r w:rsidRPr="00695123">
              <w:t>§ 2</w:t>
            </w:r>
            <w:r w:rsidR="009A3350" w:rsidRPr="00695123">
              <w:t>6</w:t>
            </w:r>
            <w:r w:rsidRPr="00695123">
              <w:t xml:space="preserve">. Umweltschutz, Arbeitsschutz, </w:t>
            </w:r>
            <w:bookmarkEnd w:id="76"/>
            <w:bookmarkEnd w:id="77"/>
            <w:r w:rsidR="00F27FA7" w:rsidRPr="00695123">
              <w:t>Materialkonformität</w:t>
            </w:r>
          </w:p>
          <w:p w14:paraId="5FD7CD15" w14:textId="77777777" w:rsidR="00AB30AD" w:rsidRPr="00695123" w:rsidRDefault="00AB30AD" w:rsidP="00AB30AD">
            <w:pPr>
              <w:rPr>
                <w:rFonts w:ascii="Arial" w:hAnsi="Arial" w:cs="Arial"/>
                <w:sz w:val="20"/>
              </w:rPr>
            </w:pPr>
          </w:p>
          <w:p w14:paraId="06585052" w14:textId="67FA3885" w:rsidR="00F27FA7" w:rsidRPr="00695123" w:rsidRDefault="00D023B7" w:rsidP="00F27FA7">
            <w:pPr>
              <w:pStyle w:val="StandardDEEN"/>
            </w:pPr>
            <w:r w:rsidRPr="00695123">
              <w:br/>
            </w:r>
            <w:r w:rsidRPr="00695123">
              <w:br/>
            </w:r>
            <w:r w:rsidR="00F27FA7" w:rsidRPr="00695123">
              <w:t>Der Lieferant verpflichtet sich, alle gesetzlichen Regelungen zum Umwelt-, Gesundheits- und Arbeitsschutz einzuhalten. Durch eine angemessene Arbeits-/Umweltschutzorganisation und angemessenen betrieblichen Arbeits-/Umweltschutz sind Auswirkungen auf Mensch und Umwelt gering zu halten. Hierzu wird die Einführung und Weiterentwicklung entsprechender Managementsysteme gem. ISO 14001, ISO 45001 bzw. ISO 50001 erwartet.</w:t>
            </w:r>
          </w:p>
          <w:p w14:paraId="44044DC3" w14:textId="6D9F9F88" w:rsidR="00F27FA7" w:rsidRPr="00695123" w:rsidRDefault="00F27FA7" w:rsidP="00F27FA7">
            <w:pPr>
              <w:pStyle w:val="StandardDEEN"/>
            </w:pPr>
            <w:r w:rsidRPr="00695123">
              <w:t xml:space="preserve">Alle bei der Teile-Fertigung eingesetzten Materialien, sowie angewandten Fertigungsprozesse müssen den gültigen gesetzlichen und sicherheitstechnischen Auflagen entsprechen. Der Lieferant verpflichtet sich, insbesondere die Anforderungen der RoHS Richtlinien, POP-Verordnung und REACH Verordnung (EG) Nr. 1907/2006 zu erfüllen. Dies gilt insbesondere für die Informationspflicht nach Artikel 33, nachdem jeder Lieferant eines Erzeugnisses, das einen die Kriterien des Artikels 57 erfüllenden und gemäß Artikel 59 Absatz 1 ermittelten Stoff in einer Konzentration von mehr als 0,1 Massenprozent (w/w) enthält, KAYSER die ihm vorliegenden, für eine sichere Verwendung des Erzeugnisses ausreichenden Informationen zur Verfügung stellt. Die aktuelle Kandidatenliste der besonders besorgniserregenden Stoffe wird von der Europäischen Chemikalienagentur veröffentlicht und ist unter </w:t>
            </w:r>
            <w:hyperlink r:id="rId18" w:history="1">
              <w:r w:rsidRPr="00695123">
                <w:rPr>
                  <w:rStyle w:val="Hyperlink"/>
                  <w:color w:val="auto"/>
                </w:rPr>
                <w:t>http://echa.europe.eu</w:t>
              </w:r>
            </w:hyperlink>
            <w:r w:rsidRPr="00695123">
              <w:t xml:space="preserve"> abrufbar. Die SVHC Stoffe der Kandidatenliste werden laufend von der Europäischen Chemikalienagentur ergänzt. Der Lieferant wird sich hierüber entsprechend selbstständig informieren und seine Informationspflicht gegenüber KAYSER nach REACH erfüllen. Darüber sind die GADSL (</w:t>
            </w:r>
            <w:hyperlink r:id="rId19" w:history="1">
              <w:r w:rsidRPr="00695123">
                <w:rPr>
                  <w:rStyle w:val="Hyperlink"/>
                  <w:color w:val="auto"/>
                </w:rPr>
                <w:t>www.gadsl.org</w:t>
              </w:r>
            </w:hyperlink>
            <w:r w:rsidRPr="00695123">
              <w:t>)  sowie darüberhinausgehende OEM-spezifische Stoffverbote zu berücksichtigen, die im Rahmen des jeweiligen Projektes an den Lieferanten kommuniziert werden.</w:t>
            </w:r>
          </w:p>
          <w:p w14:paraId="64DC93EB" w14:textId="385925FF" w:rsidR="00F27FA7" w:rsidRPr="00695123" w:rsidRDefault="00F27FA7" w:rsidP="00825ABC">
            <w:pPr>
              <w:pStyle w:val="StandardDEEN"/>
            </w:pPr>
            <w:r w:rsidRPr="00695123">
              <w:t>Sollte für die Anforderungen eine Ausnahmeregelung vorliegen, so muss diese explizit für jeden Fall, schriftlich an KAYSER kommuniziert werden.</w:t>
            </w:r>
          </w:p>
          <w:p w14:paraId="00812EA3" w14:textId="1FB80C69" w:rsidR="00825ABC" w:rsidRPr="00695123" w:rsidRDefault="00F27FA7" w:rsidP="00825ABC">
            <w:pPr>
              <w:pStyle w:val="StandardDEEN"/>
            </w:pPr>
            <w:r w:rsidRPr="00695123">
              <w:t xml:space="preserve">Alle Lieferanten, deren gelieferte Erzeugnisse potentielle Konfliktmineralien enthalten könnten, verpflichten sich, die direkte oder indirekte Verwendung von Metallen und Mineralien zu vermeiden, die in Konflikt- und Hochrisikogebieten gefunden werden. Informationen, die sich auf die Verwendung von 3TG und Kobalt/Glimmer durch Lieferanten oder Unterlieferanten beziehen, müssen der Kayser-Gruppe über das von der </w:t>
            </w:r>
            <w:proofErr w:type="spellStart"/>
            <w:r w:rsidRPr="00695123">
              <w:t>Responsible</w:t>
            </w:r>
            <w:proofErr w:type="spellEnd"/>
            <w:r w:rsidRPr="00695123">
              <w:t xml:space="preserve"> Minerals Initiative bereitgestellte Conflict Minerals Reporting Template und Extended Minerals Reporting Template gemeldet werden. </w:t>
            </w:r>
          </w:p>
        </w:tc>
        <w:tc>
          <w:tcPr>
            <w:tcW w:w="4934" w:type="dxa"/>
            <w:tcBorders>
              <w:top w:val="nil"/>
              <w:left w:val="nil"/>
              <w:bottom w:val="nil"/>
              <w:right w:val="nil"/>
            </w:tcBorders>
          </w:tcPr>
          <w:p w14:paraId="76E6C7C7" w14:textId="4C52B685" w:rsidR="001954AE" w:rsidRPr="00695123" w:rsidRDefault="001954AE" w:rsidP="00B7318F">
            <w:pPr>
              <w:pStyle w:val="berschriftEN1"/>
              <w:numPr>
                <w:ilvl w:val="0"/>
                <w:numId w:val="0"/>
              </w:numPr>
              <w:ind w:left="737" w:hanging="737"/>
              <w:rPr>
                <w:lang w:val="en-US"/>
              </w:rPr>
            </w:pPr>
            <w:bookmarkStart w:id="78" w:name="_Toc492550479"/>
            <w:bookmarkStart w:id="79" w:name="_Toc492643842"/>
            <w:r w:rsidRPr="00695123">
              <w:rPr>
                <w:lang w:val="en-US"/>
              </w:rPr>
              <w:t>§ 2</w:t>
            </w:r>
            <w:r w:rsidR="009A3350" w:rsidRPr="00695123">
              <w:rPr>
                <w:lang w:val="en-US"/>
              </w:rPr>
              <w:t>6</w:t>
            </w:r>
            <w:r w:rsidRPr="00695123">
              <w:rPr>
                <w:lang w:val="en-US"/>
              </w:rPr>
              <w:t xml:space="preserve">. Environmental protection, occupational health and safety, </w:t>
            </w:r>
            <w:bookmarkEnd w:id="78"/>
            <w:bookmarkEnd w:id="79"/>
            <w:r w:rsidR="00F27FA7" w:rsidRPr="00695123">
              <w:rPr>
                <w:lang w:val="en-US"/>
              </w:rPr>
              <w:t>Conformity of materials</w:t>
            </w:r>
          </w:p>
          <w:p w14:paraId="75A69B3A" w14:textId="70002BE2" w:rsidR="00F27FA7" w:rsidRPr="00695123" w:rsidRDefault="00F27FA7" w:rsidP="00F27FA7">
            <w:pPr>
              <w:pStyle w:val="StandardDEEN"/>
              <w:rPr>
                <w:lang w:val="en-US"/>
              </w:rPr>
            </w:pPr>
            <w:r w:rsidRPr="00695123">
              <w:rPr>
                <w:lang w:val="en-US"/>
              </w:rPr>
              <w:t>The supplier undertakes to comply with all statutory regulations on environmental protection, health and safety at work. Impacts on people and the environment are to be kept to a minimum by means of an appropriate occupational/environmental protection organization and appropriate operational occupational/environmental protection. To this end, the introduction and further development of appropriate management systems in accordance with ISO 14001, ISO 45001 and ISO 50001 is expected.</w:t>
            </w:r>
            <w:r w:rsidR="001954AE" w:rsidRPr="00695123">
              <w:rPr>
                <w:lang w:val="en-US"/>
              </w:rPr>
              <w:t xml:space="preserve"> </w:t>
            </w:r>
          </w:p>
          <w:p w14:paraId="1712A00E" w14:textId="77777777" w:rsidR="00F27FA7" w:rsidRPr="00695123" w:rsidRDefault="00F27FA7" w:rsidP="00F27FA7">
            <w:pPr>
              <w:pStyle w:val="StandardDEEN"/>
              <w:rPr>
                <w:lang w:val="en-US"/>
              </w:rPr>
            </w:pPr>
            <w:r w:rsidRPr="00695123">
              <w:rPr>
                <w:lang w:val="en-US"/>
              </w:rPr>
              <w:t>All materials used in the production of parts and the manufacturing processes applied must comply with the applicable legal and safety requirements. In particular, the supplier undertakes to comply with the requirements of the RoHS Directives, POP Regulation and REACH Regulation (EC) No. 1907/2006. This applies in particular to the obligation to provide information in accordance with Article 33, after each supplier of an article which contains a substance meeting the criteria of Article 57 and identified in accordance with Article 59 (1) in a concentration of more than 0.1 mass percent (w/w) shall provide KAYSER with the information available to it which is sufficient for safe use of the article. The current candidate list of substances of very high concern is published by the European Chemicals Agency and is available at http://echa.europe.eu. The SVHC substances on the candidate list are continuously updated by the European Chemicals Agency. The supplier shall inform itself about this accordingly and fulfill its duty to inform KAYSER in accordance with REACH. In addition, the GADSL (www.gadsl.org) as well as additional OEM-specific substance bans, which are communicated to the supplier as part of the respective project, must be taken into account.</w:t>
            </w:r>
          </w:p>
          <w:p w14:paraId="167ADDEE" w14:textId="15682CD0" w:rsidR="00FA42D9" w:rsidRPr="00695123" w:rsidRDefault="00D023B7" w:rsidP="00F27FA7">
            <w:pPr>
              <w:pStyle w:val="StandardDEEN"/>
              <w:rPr>
                <w:lang w:val="en-US"/>
              </w:rPr>
            </w:pPr>
            <w:r w:rsidRPr="00695123">
              <w:rPr>
                <w:lang w:val="en-US"/>
              </w:rPr>
              <w:br/>
            </w:r>
            <w:r w:rsidRPr="00695123">
              <w:rPr>
                <w:lang w:val="en-US"/>
              </w:rPr>
              <w:br/>
            </w:r>
            <w:r w:rsidR="00FA42D9" w:rsidRPr="00695123">
              <w:rPr>
                <w:lang w:val="en-US"/>
              </w:rPr>
              <w:t>If there is an exception to the requirements, this must be explicitly communicated to KAYSER in writing for each case.</w:t>
            </w:r>
          </w:p>
          <w:p w14:paraId="5E685F55" w14:textId="29EBA680" w:rsidR="00FA42D9" w:rsidRPr="00695123" w:rsidRDefault="00FA42D9" w:rsidP="00F27FA7">
            <w:pPr>
              <w:pStyle w:val="StandardDEEN"/>
              <w:rPr>
                <w:lang w:val="en-US"/>
              </w:rPr>
            </w:pPr>
            <w:r w:rsidRPr="00695123">
              <w:rPr>
                <w:lang w:val="en-US"/>
              </w:rPr>
              <w:t>All suppliers whose delivered products could contain potential conflict minerals are obliged to avoid the direct or indirect use of metals and minerals found in conflict and high-risk areas. Information relating to the use of 3TG and cobalt/mica by suppliers or sub-suppliers must be reported to the Kayser Group via the Conflict Minerals Reporting Template and Extended Minerals Reporting Template provided by the Responsible Minerals Initiative.</w:t>
            </w:r>
          </w:p>
        </w:tc>
      </w:tr>
      <w:tr w:rsidR="00695123" w:rsidRPr="00695123" w14:paraId="5835456C" w14:textId="77777777" w:rsidTr="00AD39CE">
        <w:tc>
          <w:tcPr>
            <w:tcW w:w="4988" w:type="dxa"/>
            <w:tcBorders>
              <w:top w:val="nil"/>
              <w:left w:val="nil"/>
              <w:bottom w:val="nil"/>
              <w:right w:val="nil"/>
            </w:tcBorders>
          </w:tcPr>
          <w:p w14:paraId="52B2ECA4" w14:textId="1B451AD8" w:rsidR="0057796A" w:rsidRPr="00695123" w:rsidRDefault="0057796A" w:rsidP="00B7318F">
            <w:pPr>
              <w:pStyle w:val="berschrift1"/>
              <w:numPr>
                <w:ilvl w:val="0"/>
                <w:numId w:val="0"/>
              </w:numPr>
              <w:ind w:left="737" w:hanging="737"/>
            </w:pPr>
            <w:bookmarkStart w:id="80" w:name="_Toc492627359"/>
            <w:bookmarkStart w:id="81" w:name="_Toc492643843"/>
            <w:r w:rsidRPr="00695123">
              <w:t>§ 2</w:t>
            </w:r>
            <w:r w:rsidR="009A3350" w:rsidRPr="00695123">
              <w:t>7</w:t>
            </w:r>
            <w:r w:rsidRPr="00695123">
              <w:t xml:space="preserve">. </w:t>
            </w:r>
            <w:r w:rsidR="001954AE" w:rsidRPr="00695123">
              <w:t xml:space="preserve">Antikorruptionsklausel und </w:t>
            </w:r>
            <w:r w:rsidRPr="00695123">
              <w:t>Verhaltenskodex</w:t>
            </w:r>
            <w:bookmarkEnd w:id="80"/>
            <w:bookmarkEnd w:id="81"/>
          </w:p>
          <w:p w14:paraId="352D1E67" w14:textId="77777777" w:rsidR="0057796A" w:rsidRPr="00695123" w:rsidRDefault="0057796A" w:rsidP="001954AE">
            <w:pPr>
              <w:pStyle w:val="StandardDEEN"/>
              <w:rPr>
                <w:szCs w:val="24"/>
              </w:rPr>
            </w:pPr>
            <w:r w:rsidRPr="00695123">
              <w:rPr>
                <w:szCs w:val="24"/>
              </w:rPr>
              <w:t>Der Lieferant verpflichtet sich währen</w:t>
            </w:r>
            <w:r w:rsidR="006F6176" w:rsidRPr="00695123">
              <w:rPr>
                <w:szCs w:val="24"/>
              </w:rPr>
              <w:t>d</w:t>
            </w:r>
            <w:r w:rsidRPr="00695123">
              <w:rPr>
                <w:szCs w:val="24"/>
              </w:rPr>
              <w:t xml:space="preserve"> der Vereinbarungsdauer sämtliche anwendbaren Rechtsvorschriften zur Bekämpfung von Korruption einzuhalten.</w:t>
            </w:r>
          </w:p>
          <w:p w14:paraId="1EF4328E" w14:textId="77777777" w:rsidR="0057796A" w:rsidRPr="00695123" w:rsidRDefault="0057796A" w:rsidP="001954AE">
            <w:pPr>
              <w:pStyle w:val="StandardDEEN"/>
              <w:rPr>
                <w:szCs w:val="24"/>
              </w:rPr>
            </w:pPr>
            <w:r w:rsidRPr="00695123">
              <w:rPr>
                <w:szCs w:val="24"/>
              </w:rPr>
              <w:t xml:space="preserve">Diese Verpflichtung umfasst in jedem Fall das Verbot unrechtmäßiger Zahlungen oder der Gewährung anderer unrechtmäßiger Vorteile an Amtsträger, Geschäftspartner, an deren Mitarbeiter, Familienangehörige oder sonstige Partner. </w:t>
            </w:r>
          </w:p>
          <w:p w14:paraId="194442F6" w14:textId="77777777" w:rsidR="0057796A" w:rsidRPr="00695123" w:rsidRDefault="0057796A" w:rsidP="001954AE">
            <w:pPr>
              <w:pStyle w:val="StandardDEEN"/>
              <w:rPr>
                <w:szCs w:val="24"/>
              </w:rPr>
            </w:pPr>
            <w:r w:rsidRPr="00695123">
              <w:rPr>
                <w:szCs w:val="24"/>
              </w:rPr>
              <w:t>Die Vertragsparteien werden sich gegenseitig bei Maßnahmen zur Verhinderung von  Korruption unterstützen und sich insbesondere gegenseitig unverzüglich informieren, soweit sie Kenntnis oder einen konkreten Verdacht von Korruptionsfällen haben, die  mit diesem Vertrag oder seiner Erfüllung in einem konkreten Zusammenhang stehen.</w:t>
            </w:r>
          </w:p>
          <w:p w14:paraId="6AC994E2" w14:textId="77777777" w:rsidR="0057796A" w:rsidRPr="00695123" w:rsidRDefault="0057796A" w:rsidP="001954AE">
            <w:pPr>
              <w:pStyle w:val="StandardDEEN"/>
              <w:rPr>
                <w:szCs w:val="24"/>
              </w:rPr>
            </w:pPr>
            <w:r w:rsidRPr="00695123">
              <w:rPr>
                <w:szCs w:val="24"/>
              </w:rPr>
              <w:t>Stellt KAYSER fest, dass der Lieferant gegen Antikorruptionsvorschriften verstößt, ist KAYSER berechtigt, den Vertrag ggf. auch außerordentlich zu kündigen.</w:t>
            </w:r>
          </w:p>
          <w:p w14:paraId="526180CF" w14:textId="77777777" w:rsidR="00153BE6" w:rsidRPr="00695123" w:rsidRDefault="0057796A" w:rsidP="001954AE">
            <w:pPr>
              <w:pStyle w:val="StandardDEEN"/>
              <w:rPr>
                <w:szCs w:val="24"/>
              </w:rPr>
            </w:pPr>
            <w:r w:rsidRPr="00695123">
              <w:rPr>
                <w:szCs w:val="24"/>
              </w:rPr>
              <w:t>KAYSER weist im Übrigen ausdrücklich auf den in der KAYSER Unternehmensgruppe geltenden Verhaltenskodex hin, der unter http://kayser-automotive.com/</w:t>
            </w:r>
            <w:r w:rsidR="000125C0" w:rsidRPr="00695123">
              <w:rPr>
                <w:szCs w:val="24"/>
              </w:rPr>
              <w:t>downloads</w:t>
            </w:r>
            <w:r w:rsidRPr="00695123">
              <w:rPr>
                <w:szCs w:val="24"/>
              </w:rPr>
              <w:t xml:space="preserve"> eingesehen werden kann. KAYSER erwartet von seinen Lieferanten, dass diese die darin enthaltenen Regelungen und Prinzipien einhalten. </w:t>
            </w:r>
          </w:p>
        </w:tc>
        <w:tc>
          <w:tcPr>
            <w:tcW w:w="4934" w:type="dxa"/>
            <w:tcBorders>
              <w:top w:val="nil"/>
              <w:left w:val="nil"/>
              <w:bottom w:val="nil"/>
              <w:right w:val="nil"/>
            </w:tcBorders>
          </w:tcPr>
          <w:p w14:paraId="019775D2" w14:textId="7FA91FA6" w:rsidR="001954AE" w:rsidRPr="00695123" w:rsidRDefault="001954AE" w:rsidP="00B7318F">
            <w:pPr>
              <w:pStyle w:val="berschriftEN1"/>
              <w:numPr>
                <w:ilvl w:val="0"/>
                <w:numId w:val="0"/>
              </w:numPr>
              <w:ind w:left="737" w:hanging="737"/>
              <w:rPr>
                <w:lang w:val="en-US"/>
              </w:rPr>
            </w:pPr>
            <w:bookmarkStart w:id="82" w:name="_Toc492550480"/>
            <w:bookmarkStart w:id="83" w:name="_Toc492643844"/>
            <w:r w:rsidRPr="00695123">
              <w:rPr>
                <w:lang w:val="en-US"/>
              </w:rPr>
              <w:t>§ 2</w:t>
            </w:r>
            <w:r w:rsidR="009A3350" w:rsidRPr="00695123">
              <w:rPr>
                <w:lang w:val="en-US"/>
              </w:rPr>
              <w:t>7</w:t>
            </w:r>
            <w:r w:rsidRPr="00695123">
              <w:rPr>
                <w:lang w:val="en-US"/>
              </w:rPr>
              <w:t>. Anti-corruption clause and code of conduct</w:t>
            </w:r>
            <w:bookmarkEnd w:id="82"/>
            <w:bookmarkEnd w:id="83"/>
            <w:r w:rsidRPr="00695123">
              <w:rPr>
                <w:lang w:val="en-US"/>
              </w:rPr>
              <w:t xml:space="preserve"> </w:t>
            </w:r>
          </w:p>
          <w:p w14:paraId="2A8FACFE" w14:textId="77777777" w:rsidR="001954AE" w:rsidRPr="00695123" w:rsidRDefault="001954AE" w:rsidP="00957768">
            <w:pPr>
              <w:pStyle w:val="StandardDEEN"/>
              <w:rPr>
                <w:szCs w:val="24"/>
                <w:lang w:val="en-GB"/>
              </w:rPr>
            </w:pPr>
            <w:r w:rsidRPr="00695123">
              <w:rPr>
                <w:szCs w:val="24"/>
                <w:lang w:val="en-GB"/>
              </w:rPr>
              <w:t>During the term of the Agreement, the Supplier undertakes to comply with all applicable legal provisions on the combatting of corruption.</w:t>
            </w:r>
          </w:p>
          <w:p w14:paraId="64EC4C7C" w14:textId="77777777" w:rsidR="00AB30AD" w:rsidRPr="00695123" w:rsidRDefault="00AB30AD" w:rsidP="00AB30AD">
            <w:pPr>
              <w:pStyle w:val="StandardDEEN"/>
              <w:spacing w:before="0"/>
              <w:rPr>
                <w:szCs w:val="24"/>
                <w:lang w:val="en-GB"/>
              </w:rPr>
            </w:pPr>
          </w:p>
          <w:p w14:paraId="583F2FF0" w14:textId="77777777" w:rsidR="001954AE" w:rsidRPr="00695123" w:rsidRDefault="001954AE" w:rsidP="00957768">
            <w:pPr>
              <w:pStyle w:val="StandardDEEN"/>
              <w:rPr>
                <w:szCs w:val="24"/>
                <w:lang w:val="en-GB"/>
              </w:rPr>
            </w:pPr>
            <w:r w:rsidRPr="00695123">
              <w:rPr>
                <w:szCs w:val="24"/>
                <w:lang w:val="en-GB"/>
              </w:rPr>
              <w:t xml:space="preserve">At all events, this duty shall cover the ban on illegal payments or the granting of other illegal advantages to office holders, business partners, their employees, family members or other partners. </w:t>
            </w:r>
          </w:p>
          <w:p w14:paraId="0B1EE827" w14:textId="77777777" w:rsidR="00AB30AD" w:rsidRPr="00695123" w:rsidRDefault="00AB30AD" w:rsidP="00AB30AD">
            <w:pPr>
              <w:pStyle w:val="StandardDEEN"/>
              <w:spacing w:before="0"/>
              <w:rPr>
                <w:szCs w:val="24"/>
                <w:lang w:val="en-GB"/>
              </w:rPr>
            </w:pPr>
          </w:p>
          <w:p w14:paraId="3BBCCB1A" w14:textId="77777777" w:rsidR="001954AE" w:rsidRPr="00695123" w:rsidRDefault="001954AE" w:rsidP="00957768">
            <w:pPr>
              <w:pStyle w:val="StandardDEEN"/>
              <w:rPr>
                <w:szCs w:val="24"/>
                <w:lang w:val="en-US"/>
              </w:rPr>
            </w:pPr>
            <w:r w:rsidRPr="00695123">
              <w:rPr>
                <w:szCs w:val="24"/>
                <w:lang w:val="en-US"/>
              </w:rPr>
              <w:t>The parties shall support each other in anti-corruption measures and shall in particular inform each other immediately they gain knowledge or have a concrete suspicion of cases of corruption which are specifically related to this Agreement or its implementation.</w:t>
            </w:r>
          </w:p>
          <w:p w14:paraId="2B1762E4" w14:textId="6213E821" w:rsidR="001954AE" w:rsidRPr="00695123" w:rsidRDefault="00D023B7" w:rsidP="00957768">
            <w:pPr>
              <w:pStyle w:val="StandardDEEN"/>
              <w:rPr>
                <w:szCs w:val="24"/>
                <w:lang w:val="en-GB"/>
              </w:rPr>
            </w:pPr>
            <w:r w:rsidRPr="00695123">
              <w:rPr>
                <w:szCs w:val="24"/>
                <w:lang w:val="en-GB"/>
              </w:rPr>
              <w:br/>
            </w:r>
            <w:r w:rsidR="001954AE" w:rsidRPr="00695123">
              <w:rPr>
                <w:szCs w:val="24"/>
                <w:lang w:val="en-GB"/>
              </w:rPr>
              <w:t>If KAYSER determines that the Supplier breaches anti-corruption provisions, KAYSER is entitled to terminate the Agreement also by way of exception where applicable.</w:t>
            </w:r>
          </w:p>
          <w:p w14:paraId="2A249357" w14:textId="5C36F885" w:rsidR="00153BE6" w:rsidRPr="00695123" w:rsidRDefault="001954AE" w:rsidP="00957768">
            <w:pPr>
              <w:pStyle w:val="StandardDEEN"/>
              <w:rPr>
                <w:szCs w:val="24"/>
                <w:lang w:val="en-GB"/>
              </w:rPr>
            </w:pPr>
            <w:r w:rsidRPr="00695123">
              <w:rPr>
                <w:szCs w:val="24"/>
                <w:lang w:val="en-GB"/>
              </w:rPr>
              <w:t>KAYSER furthermore makes reference to the code of conduct applicable in the KAYSER Group which may be inspected at http://kayser-automotive.com/</w:t>
            </w:r>
            <w:r w:rsidR="000125C0" w:rsidRPr="00695123">
              <w:rPr>
                <w:szCs w:val="24"/>
                <w:lang w:val="en-GB"/>
              </w:rPr>
              <w:t>downloads</w:t>
            </w:r>
            <w:r w:rsidRPr="00695123">
              <w:rPr>
                <w:szCs w:val="24"/>
                <w:lang w:val="en-GB"/>
              </w:rPr>
              <w:t>. KAYSER expects its suppliers to comply with the rules and principles contained therein.</w:t>
            </w:r>
          </w:p>
        </w:tc>
      </w:tr>
      <w:tr w:rsidR="00695123" w:rsidRPr="00695123" w14:paraId="13B0F119" w14:textId="77777777" w:rsidTr="00AD39CE">
        <w:tc>
          <w:tcPr>
            <w:tcW w:w="4974" w:type="dxa"/>
            <w:tcBorders>
              <w:top w:val="nil"/>
              <w:left w:val="nil"/>
              <w:bottom w:val="nil"/>
              <w:right w:val="nil"/>
            </w:tcBorders>
          </w:tcPr>
          <w:p w14:paraId="0EB531C1" w14:textId="513933AD" w:rsidR="0057796A" w:rsidRPr="00695123" w:rsidRDefault="00B7318F" w:rsidP="001954AE">
            <w:pPr>
              <w:pStyle w:val="berschrift1"/>
              <w:numPr>
                <w:ilvl w:val="0"/>
                <w:numId w:val="0"/>
              </w:numPr>
              <w:ind w:left="357" w:hanging="357"/>
            </w:pPr>
            <w:bookmarkStart w:id="84" w:name="_Toc475973889"/>
            <w:bookmarkStart w:id="85" w:name="_Toc492627360"/>
            <w:r w:rsidRPr="00695123">
              <w:br w:type="page"/>
            </w:r>
            <w:bookmarkStart w:id="86" w:name="_Toc492643845"/>
            <w:r w:rsidR="0057796A" w:rsidRPr="00695123">
              <w:t>§</w:t>
            </w:r>
            <w:bookmarkEnd w:id="84"/>
            <w:r w:rsidR="0057796A" w:rsidRPr="00695123">
              <w:t xml:space="preserve"> 2</w:t>
            </w:r>
            <w:r w:rsidR="009A3350" w:rsidRPr="00695123">
              <w:t>8</w:t>
            </w:r>
            <w:r w:rsidR="0057796A" w:rsidRPr="00695123">
              <w:t>. Geltungsdauer</w:t>
            </w:r>
            <w:bookmarkEnd w:id="85"/>
            <w:bookmarkEnd w:id="86"/>
          </w:p>
          <w:p w14:paraId="584273B5" w14:textId="72B37B46" w:rsidR="0057796A" w:rsidRPr="00695123" w:rsidRDefault="0057796A" w:rsidP="001954AE">
            <w:pPr>
              <w:pStyle w:val="StandardDEEN"/>
              <w:rPr>
                <w:strike/>
              </w:rPr>
            </w:pPr>
            <w:r w:rsidRPr="00695123">
              <w:t xml:space="preserve">Diese Vereinbarung tritt mit </w:t>
            </w:r>
            <w:r w:rsidR="0020022B" w:rsidRPr="00695123">
              <w:t>der Erstbestellung und/oder Abschluss eines Liefer- oder Kooperationsvertrages</w:t>
            </w:r>
            <w:r w:rsidR="006A1996" w:rsidRPr="00695123">
              <w:t xml:space="preserve"> in Kraft</w:t>
            </w:r>
            <w:r w:rsidR="0020022B" w:rsidRPr="00695123">
              <w:t>.</w:t>
            </w:r>
          </w:p>
          <w:p w14:paraId="085DC23F" w14:textId="070845C6" w:rsidR="0057796A" w:rsidRPr="00695123" w:rsidRDefault="0057796A" w:rsidP="001954AE">
            <w:pPr>
              <w:pStyle w:val="StandardDEEN"/>
            </w:pPr>
            <w:r w:rsidRPr="00695123">
              <w:t>Die Laufzeit ist unbefristet</w:t>
            </w:r>
            <w:r w:rsidR="00F40173" w:rsidRPr="00695123">
              <w:t>.</w:t>
            </w:r>
            <w:r w:rsidRPr="00695123">
              <w:t xml:space="preserve"> Sie gilt für alle Lieferungen von Vertragsgegenständen, die nach Inkrafttreten dieser Vereinbarung bestellt und deren Bestellung vor Beendigung dieser Vereinbarung bestätigt werden. </w:t>
            </w:r>
          </w:p>
          <w:p w14:paraId="0FF1960C" w14:textId="171EC349" w:rsidR="00114C5B" w:rsidRPr="00695123" w:rsidRDefault="00114C5B" w:rsidP="001954AE">
            <w:pPr>
              <w:pStyle w:val="StandardDEEN"/>
            </w:pPr>
            <w:r w:rsidRPr="00695123">
              <w:t xml:space="preserve">Die aktuell gültige Version dieser Vereinbarung ist auf der KAYSER </w:t>
            </w:r>
            <w:r w:rsidR="001057D6" w:rsidRPr="00695123">
              <w:t>Homepage</w:t>
            </w:r>
            <w:r w:rsidRPr="00695123">
              <w:t xml:space="preserve"> einzusehen, und auf Änderungen in Regelmäßigen </w:t>
            </w:r>
            <w:r w:rsidR="001057D6" w:rsidRPr="00695123">
              <w:t>Abständen</w:t>
            </w:r>
            <w:r w:rsidRPr="00695123">
              <w:t xml:space="preserve"> durch den Lieferanten zu prüfen. </w:t>
            </w:r>
          </w:p>
          <w:p w14:paraId="421615D0" w14:textId="77777777" w:rsidR="0057796A" w:rsidRPr="00695123" w:rsidRDefault="0057796A" w:rsidP="001954AE">
            <w:pPr>
              <w:pStyle w:val="StandardDEEN"/>
            </w:pPr>
            <w:r w:rsidRPr="00695123">
              <w:t>Das Recht der Partner zur fristlosen Kündigung aus wichtigem Grund bleibt unberührt.</w:t>
            </w:r>
          </w:p>
        </w:tc>
        <w:tc>
          <w:tcPr>
            <w:tcW w:w="4948" w:type="dxa"/>
            <w:tcBorders>
              <w:top w:val="nil"/>
              <w:left w:val="nil"/>
              <w:bottom w:val="nil"/>
              <w:right w:val="nil"/>
            </w:tcBorders>
          </w:tcPr>
          <w:p w14:paraId="644FA307" w14:textId="4AD76094" w:rsidR="001954AE" w:rsidRPr="00695123" w:rsidRDefault="001954AE" w:rsidP="00AB30AD">
            <w:pPr>
              <w:pStyle w:val="berschriftEN1"/>
              <w:numPr>
                <w:ilvl w:val="0"/>
                <w:numId w:val="0"/>
              </w:numPr>
              <w:ind w:left="360" w:hanging="360"/>
              <w:rPr>
                <w:lang w:val="en-GB"/>
              </w:rPr>
            </w:pPr>
            <w:bookmarkStart w:id="87" w:name="_Toc492550481"/>
            <w:bookmarkStart w:id="88" w:name="_Toc492643846"/>
            <w:r w:rsidRPr="00695123">
              <w:rPr>
                <w:lang w:val="en-GB"/>
              </w:rPr>
              <w:t>§ 2</w:t>
            </w:r>
            <w:r w:rsidR="009A3350" w:rsidRPr="00695123">
              <w:rPr>
                <w:lang w:val="en-GB"/>
              </w:rPr>
              <w:t>8</w:t>
            </w:r>
            <w:r w:rsidRPr="00695123">
              <w:rPr>
                <w:lang w:val="en-GB"/>
              </w:rPr>
              <w:t>. Term</w:t>
            </w:r>
            <w:bookmarkEnd w:id="87"/>
            <w:bookmarkEnd w:id="88"/>
          </w:p>
          <w:p w14:paraId="5E2E34E8" w14:textId="6A8D2B5B" w:rsidR="001954AE" w:rsidRPr="00695123" w:rsidRDefault="001954AE" w:rsidP="00957768">
            <w:pPr>
              <w:pStyle w:val="StandardDEEN"/>
              <w:rPr>
                <w:strike/>
                <w:szCs w:val="24"/>
                <w:lang w:val="en-US"/>
              </w:rPr>
            </w:pPr>
            <w:r w:rsidRPr="00695123">
              <w:rPr>
                <w:szCs w:val="24"/>
                <w:lang w:val="en-US"/>
              </w:rPr>
              <w:t xml:space="preserve">This Agreement shall come into force </w:t>
            </w:r>
            <w:r w:rsidR="0020022B" w:rsidRPr="00695123">
              <w:rPr>
                <w:lang w:val="en-US"/>
              </w:rPr>
              <w:t>the date of the first order and/or conclusion of a supplier or collaboration agreement.</w:t>
            </w:r>
          </w:p>
          <w:p w14:paraId="2DB0A1AB" w14:textId="44C536DF" w:rsidR="001954AE" w:rsidRPr="00695123" w:rsidRDefault="001954AE" w:rsidP="00957768">
            <w:pPr>
              <w:pStyle w:val="StandardDEEN"/>
              <w:rPr>
                <w:szCs w:val="24"/>
                <w:lang w:val="en-GB"/>
              </w:rPr>
            </w:pPr>
            <w:r w:rsidRPr="00695123">
              <w:rPr>
                <w:szCs w:val="24"/>
                <w:lang w:val="en-US"/>
              </w:rPr>
              <w:t>The term is indefinite</w:t>
            </w:r>
            <w:r w:rsidRPr="00695123">
              <w:rPr>
                <w:szCs w:val="24"/>
                <w:lang w:val="en-GB"/>
              </w:rPr>
              <w:t xml:space="preserve">. It applies to all deliveries of contractual products which are ordered after this Agreement comes into force and confirmed before the end of this Agreement. </w:t>
            </w:r>
          </w:p>
          <w:p w14:paraId="6C36DA7C" w14:textId="77777777" w:rsidR="00AB30AD" w:rsidRPr="00695123" w:rsidRDefault="00AB30AD" w:rsidP="00AB30AD">
            <w:pPr>
              <w:pStyle w:val="StandardDEEN"/>
              <w:spacing w:before="0"/>
              <w:rPr>
                <w:szCs w:val="24"/>
                <w:lang w:val="en-GB"/>
              </w:rPr>
            </w:pPr>
          </w:p>
          <w:p w14:paraId="0F68BE30" w14:textId="77777777" w:rsidR="00114C5B" w:rsidRPr="00695123" w:rsidRDefault="00114C5B" w:rsidP="00AB30AD">
            <w:pPr>
              <w:pStyle w:val="StandardDEEN"/>
              <w:spacing w:before="0"/>
              <w:rPr>
                <w:szCs w:val="24"/>
                <w:lang w:val="en-GB"/>
              </w:rPr>
            </w:pPr>
            <w:r w:rsidRPr="00695123">
              <w:rPr>
                <w:szCs w:val="24"/>
                <w:lang w:val="en-GB"/>
              </w:rPr>
              <w:t>The currently valid version of this agreement can be viewed on the KAYSER homepage and must be checked for changes at regular intervals by the supplier.</w:t>
            </w:r>
          </w:p>
          <w:p w14:paraId="4054E3B8" w14:textId="77777777" w:rsidR="0057796A" w:rsidRPr="00695123" w:rsidRDefault="001954AE" w:rsidP="00AB30AD">
            <w:pPr>
              <w:pStyle w:val="StandardDEEN"/>
              <w:rPr>
                <w:lang w:val="en-GB"/>
              </w:rPr>
            </w:pPr>
            <w:r w:rsidRPr="00695123">
              <w:rPr>
                <w:szCs w:val="24"/>
                <w:lang w:val="en-GB"/>
              </w:rPr>
              <w:t xml:space="preserve">The right of the parties to terminate without notice for good </w:t>
            </w:r>
            <w:r w:rsidR="000125C0" w:rsidRPr="00695123">
              <w:rPr>
                <w:szCs w:val="24"/>
                <w:lang w:val="en-GB"/>
              </w:rPr>
              <w:t>cause</w:t>
            </w:r>
            <w:r w:rsidRPr="00695123">
              <w:rPr>
                <w:szCs w:val="24"/>
                <w:lang w:val="en-GB"/>
              </w:rPr>
              <w:t xml:space="preserve"> shall not be affected.</w:t>
            </w:r>
          </w:p>
        </w:tc>
      </w:tr>
      <w:tr w:rsidR="00695123" w:rsidRPr="00695123" w14:paraId="095234E9" w14:textId="77777777" w:rsidTr="00AD39CE">
        <w:tc>
          <w:tcPr>
            <w:tcW w:w="4974" w:type="dxa"/>
            <w:tcBorders>
              <w:top w:val="nil"/>
              <w:left w:val="nil"/>
              <w:bottom w:val="nil"/>
              <w:right w:val="nil"/>
            </w:tcBorders>
          </w:tcPr>
          <w:p w14:paraId="061E0B1A" w14:textId="0F5211F1" w:rsidR="0057796A" w:rsidRPr="00695123" w:rsidRDefault="0057796A" w:rsidP="001954AE">
            <w:pPr>
              <w:pStyle w:val="berschrift1"/>
              <w:numPr>
                <w:ilvl w:val="0"/>
                <w:numId w:val="0"/>
              </w:numPr>
            </w:pPr>
            <w:bookmarkStart w:id="89" w:name="_Toc492627361"/>
            <w:bookmarkStart w:id="90" w:name="_Toc492643847"/>
            <w:r w:rsidRPr="00695123">
              <w:t>§ 2</w:t>
            </w:r>
            <w:r w:rsidR="009A3350" w:rsidRPr="00695123">
              <w:t>9</w:t>
            </w:r>
            <w:r w:rsidRPr="00695123">
              <w:t>. Schlussbestimmungen</w:t>
            </w:r>
            <w:bookmarkEnd w:id="89"/>
            <w:bookmarkEnd w:id="90"/>
          </w:p>
          <w:p w14:paraId="499C8EB4" w14:textId="77777777" w:rsidR="0057796A" w:rsidRPr="00695123" w:rsidRDefault="0057796A" w:rsidP="001954AE">
            <w:pPr>
              <w:pStyle w:val="StandardDEEN"/>
            </w:pPr>
            <w:r w:rsidRPr="00695123">
              <w:t xml:space="preserve">Die in anderen Verträgen zwischen den Vertragspartnern getroffenen Vereinbarungen gelten ergänzend, soweit diese QSV keine spezielleren Regelungen enthält. </w:t>
            </w:r>
          </w:p>
          <w:p w14:paraId="161B7A51" w14:textId="77777777" w:rsidR="0057796A" w:rsidRPr="00695123" w:rsidRDefault="0057796A" w:rsidP="001954AE">
            <w:pPr>
              <w:pStyle w:val="StandardDEEN"/>
            </w:pPr>
            <w:r w:rsidRPr="00695123">
              <w:t xml:space="preserve">Mündliche Nebenabreden sind nicht getroffen. Änderungen und Ergänzungen dieses Vertrages bedürfen zu ihrer Wirksamkeit der Schriftform. Das betrifft auch die Aufhebung der Schriftformvereinbarung. </w:t>
            </w:r>
          </w:p>
          <w:p w14:paraId="3730309F" w14:textId="77777777" w:rsidR="0057796A" w:rsidRPr="00695123" w:rsidRDefault="0057796A" w:rsidP="001954AE">
            <w:pPr>
              <w:pStyle w:val="StandardDEEN"/>
            </w:pPr>
            <w:r w:rsidRPr="00695123">
              <w:t>Sollten Bestimmung</w:t>
            </w:r>
            <w:r w:rsidR="000125C0" w:rsidRPr="00695123">
              <w:t>en</w:t>
            </w:r>
            <w:r w:rsidRPr="00695123">
              <w:t xml:space="preserve"> dieser Qualitätssicherungsvereinbarung ganz oder teilweise unwirksam sein oder werden, wird davon die Wirksamkeit der übrigen Bestimmungen nicht berührt. Die Vertragspartner werden unwirksamen Bedingungen durch ihre wirtschaftlichen Interessen möglichst nahe kommende, wirksame Bedingungen ersetzen. Entsprechendes gilt für etwaige Lücken. </w:t>
            </w:r>
          </w:p>
          <w:p w14:paraId="0E4158E3" w14:textId="77777777" w:rsidR="0057796A" w:rsidRPr="00695123" w:rsidRDefault="0057796A">
            <w:pPr>
              <w:pStyle w:val="StandardDEEN"/>
            </w:pPr>
            <w:r w:rsidRPr="00695123">
              <w:t>Diese Qualitätssicherungsvereinbarung unterliegt deutschem Recht unter Ausschluss   de</w:t>
            </w:r>
            <w:r w:rsidR="000125C0" w:rsidRPr="00695123">
              <w:t>s UN-Kaufrechts (CISG)</w:t>
            </w:r>
            <w:r w:rsidRPr="00695123">
              <w:t>. Gerichtstand</w:t>
            </w:r>
            <w:r w:rsidR="000125C0" w:rsidRPr="00695123">
              <w:t xml:space="preserve"> für sämtliche sich aus dieser Vereinbarung oder damit in Verbindung stehenden Streitigkeiten</w:t>
            </w:r>
            <w:r w:rsidRPr="00695123">
              <w:t xml:space="preserve"> ist</w:t>
            </w:r>
            <w:r w:rsidR="008A1526" w:rsidRPr="00695123">
              <w:t xml:space="preserve"> der Sitz von KAYSER</w:t>
            </w:r>
            <w:r w:rsidR="001E6BC0" w:rsidRPr="00695123">
              <w:t xml:space="preserve"> oder für Klagen von KAYSER ein sonst zuständiges Gericht</w:t>
            </w:r>
            <w:r w:rsidRPr="00695123">
              <w:t>.</w:t>
            </w:r>
          </w:p>
          <w:p w14:paraId="4EC60A45" w14:textId="23B3C5BC" w:rsidR="005336C4" w:rsidRPr="00695123" w:rsidRDefault="005336C4" w:rsidP="0063221E">
            <w:pPr>
              <w:pStyle w:val="StandardDEEN"/>
              <w:rPr>
                <w:b/>
                <w:bCs/>
              </w:rPr>
            </w:pPr>
          </w:p>
        </w:tc>
        <w:tc>
          <w:tcPr>
            <w:tcW w:w="4948" w:type="dxa"/>
            <w:tcBorders>
              <w:top w:val="nil"/>
              <w:left w:val="nil"/>
              <w:bottom w:val="nil"/>
              <w:right w:val="nil"/>
            </w:tcBorders>
          </w:tcPr>
          <w:p w14:paraId="1E84CFFC" w14:textId="06A4118A" w:rsidR="001954AE" w:rsidRPr="00695123" w:rsidRDefault="001954AE" w:rsidP="00AB30AD">
            <w:pPr>
              <w:pStyle w:val="berschriftEN1"/>
              <w:numPr>
                <w:ilvl w:val="0"/>
                <w:numId w:val="0"/>
              </w:numPr>
              <w:ind w:left="360" w:hanging="360"/>
              <w:rPr>
                <w:lang w:val="en-US"/>
              </w:rPr>
            </w:pPr>
            <w:bookmarkStart w:id="91" w:name="_Toc492550482"/>
            <w:bookmarkStart w:id="92" w:name="_Toc492643848"/>
            <w:r w:rsidRPr="00695123">
              <w:rPr>
                <w:lang w:val="en-US"/>
              </w:rPr>
              <w:t>§ 2</w:t>
            </w:r>
            <w:r w:rsidR="009A3350" w:rsidRPr="00695123">
              <w:rPr>
                <w:lang w:val="en-US"/>
              </w:rPr>
              <w:t>9</w:t>
            </w:r>
            <w:r w:rsidRPr="00695123">
              <w:rPr>
                <w:lang w:val="en-US"/>
              </w:rPr>
              <w:t>. Miscellaneous</w:t>
            </w:r>
            <w:bookmarkEnd w:id="91"/>
            <w:bookmarkEnd w:id="92"/>
            <w:r w:rsidRPr="00695123">
              <w:rPr>
                <w:lang w:val="en-US"/>
              </w:rPr>
              <w:t xml:space="preserve"> </w:t>
            </w:r>
          </w:p>
          <w:p w14:paraId="682BC4FF" w14:textId="77777777" w:rsidR="001954AE" w:rsidRPr="00695123" w:rsidRDefault="001954AE" w:rsidP="00957768">
            <w:pPr>
              <w:pStyle w:val="StandardDEEN"/>
              <w:rPr>
                <w:lang w:val="en-GB"/>
              </w:rPr>
            </w:pPr>
            <w:r w:rsidRPr="00695123">
              <w:rPr>
                <w:lang w:val="en-GB"/>
              </w:rPr>
              <w:t xml:space="preserve">The agreements made between the parties in other contracts shall apply be way of supplement unless this QA contains more specific provisions. </w:t>
            </w:r>
          </w:p>
          <w:p w14:paraId="72314B4B" w14:textId="77777777" w:rsidR="00AB30AD" w:rsidRPr="00695123" w:rsidRDefault="00AB30AD" w:rsidP="00AB30AD">
            <w:pPr>
              <w:pStyle w:val="StandardDEEN"/>
              <w:spacing w:before="0"/>
              <w:rPr>
                <w:lang w:val="en-GB"/>
              </w:rPr>
            </w:pPr>
          </w:p>
          <w:p w14:paraId="68226239" w14:textId="77777777" w:rsidR="001954AE" w:rsidRPr="00695123" w:rsidRDefault="001954AE" w:rsidP="00957768">
            <w:pPr>
              <w:pStyle w:val="StandardDEEN"/>
              <w:rPr>
                <w:lang w:val="en-GB"/>
              </w:rPr>
            </w:pPr>
            <w:r w:rsidRPr="00695123">
              <w:rPr>
                <w:lang w:val="en-US"/>
              </w:rPr>
              <w:t>No verbal ancillary agreements have been made. Amendments and supplements to this Agreement shall be required in writing to be effective</w:t>
            </w:r>
            <w:r w:rsidRPr="00695123">
              <w:rPr>
                <w:lang w:val="en-GB"/>
              </w:rPr>
              <w:t xml:space="preserve">. This shall also apply to the cancellation of the written form agreement. </w:t>
            </w:r>
          </w:p>
          <w:p w14:paraId="0A1F06CB" w14:textId="77777777" w:rsidR="001954AE" w:rsidRPr="00695123" w:rsidRDefault="001954AE" w:rsidP="00957768">
            <w:pPr>
              <w:pStyle w:val="StandardDEEN"/>
              <w:rPr>
                <w:lang w:val="en-GB"/>
              </w:rPr>
            </w:pPr>
            <w:r w:rsidRPr="00695123">
              <w:rPr>
                <w:lang w:val="en-GB"/>
              </w:rPr>
              <w:t xml:space="preserve">In the event of provisions of this Quality Assurance Agreement being or becoming ineffective in whole or in part, this shall not affect the efficacy of the remaining provisions. The parties shall replace the ineffective conditions by effective provisions which come as close as possible to their economic interests. The same shall apply mutatis mutandis to any omissions. </w:t>
            </w:r>
          </w:p>
          <w:p w14:paraId="37A40841" w14:textId="0F7605CA" w:rsidR="005A0B77" w:rsidRPr="00695123" w:rsidRDefault="001954AE">
            <w:pPr>
              <w:pStyle w:val="StandardDEEN"/>
              <w:rPr>
                <w:lang w:val="en-GB"/>
              </w:rPr>
            </w:pPr>
            <w:r w:rsidRPr="00695123">
              <w:rPr>
                <w:lang w:val="en-GB"/>
              </w:rPr>
              <w:t>This Quality Assurance Agreement shall be governed by German law</w:t>
            </w:r>
            <w:r w:rsidR="000125C0" w:rsidRPr="00695123">
              <w:rPr>
                <w:lang w:val="en-GB"/>
              </w:rPr>
              <w:t xml:space="preserve"> explicitly excluding the UN-Convention on contracts for the international sale of goods (CISG) </w:t>
            </w:r>
            <w:r w:rsidRPr="00695123">
              <w:rPr>
                <w:lang w:val="en-US"/>
              </w:rPr>
              <w:t>Place of jurisdiction</w:t>
            </w:r>
            <w:r w:rsidR="000125C0" w:rsidRPr="00695123">
              <w:rPr>
                <w:lang w:val="en-US"/>
              </w:rPr>
              <w:t xml:space="preserve"> for any disputes arising out of or standing in connection with this agreement</w:t>
            </w:r>
            <w:r w:rsidRPr="00695123">
              <w:rPr>
                <w:lang w:val="en-US"/>
              </w:rPr>
              <w:t xml:space="preserve"> is </w:t>
            </w:r>
            <w:r w:rsidR="001E6BC0" w:rsidRPr="00695123">
              <w:rPr>
                <w:lang w:val="en-US"/>
              </w:rPr>
              <w:t>the domicile of KAYSER or for legal actions by KAYSER an otherwise competent court</w:t>
            </w:r>
            <w:r w:rsidRPr="00695123">
              <w:rPr>
                <w:lang w:val="en-GB"/>
              </w:rPr>
              <w:t>.</w:t>
            </w:r>
          </w:p>
          <w:p w14:paraId="2A152C53" w14:textId="27CF60B6" w:rsidR="005336C4" w:rsidRPr="00695123" w:rsidRDefault="005336C4">
            <w:pPr>
              <w:pStyle w:val="StandardDEEN"/>
              <w:rPr>
                <w:lang w:val="en-US"/>
              </w:rPr>
            </w:pPr>
          </w:p>
        </w:tc>
      </w:tr>
    </w:tbl>
    <w:p w14:paraId="43A26027" w14:textId="77777777" w:rsidR="005A0B77" w:rsidRPr="001D527D" w:rsidRDefault="005A0B77" w:rsidP="00AA0E2A">
      <w:pPr>
        <w:rPr>
          <w:lang w:val="en-US"/>
        </w:rPr>
      </w:pPr>
    </w:p>
    <w:sectPr w:rsidR="005A0B77" w:rsidRPr="001D527D" w:rsidSect="006D5AA7">
      <w:headerReference w:type="default" r:id="rId20"/>
      <w:footerReference w:type="even" r:id="rId21"/>
      <w:footerReference w:type="default" r:id="rId22"/>
      <w:footnotePr>
        <w:numRestart w:val="eachSect"/>
      </w:footnotePr>
      <w:pgSz w:w="11907" w:h="16840"/>
      <w:pgMar w:top="1134" w:right="851"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C324" w14:textId="77777777" w:rsidR="000A1AD5" w:rsidRDefault="000A1AD5">
      <w:r>
        <w:separator/>
      </w:r>
    </w:p>
  </w:endnote>
  <w:endnote w:type="continuationSeparator" w:id="0">
    <w:p w14:paraId="46430DAB" w14:textId="77777777" w:rsidR="000A1AD5" w:rsidRDefault="000A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47A4" w14:textId="77777777" w:rsidR="0046475C" w:rsidRDefault="0046475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14224F0" w14:textId="77777777" w:rsidR="0046475C" w:rsidRDefault="004647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4C51" w14:textId="0D59546B" w:rsidR="0046475C" w:rsidRPr="00A876A2" w:rsidRDefault="0046475C" w:rsidP="00A876A2">
    <w:pPr>
      <w:pStyle w:val="Fuzeile"/>
      <w:tabs>
        <w:tab w:val="clear" w:pos="8504"/>
        <w:tab w:val="right" w:pos="9498"/>
      </w:tabs>
      <w:jc w:val="right"/>
      <w:rPr>
        <w:rFonts w:ascii="Arial" w:hAnsi="Arial" w:cs="Arial"/>
        <w:sz w:val="16"/>
        <w:szCs w:val="16"/>
      </w:rPr>
    </w:pPr>
    <w:r>
      <w:rPr>
        <w:rFonts w:ascii="Arial" w:hAnsi="Arial" w:cs="Arial"/>
        <w:sz w:val="16"/>
        <w:szCs w:val="16"/>
      </w:rPr>
      <w:t>D</w:t>
    </w:r>
    <w:r w:rsidR="00141834">
      <w:rPr>
        <w:rFonts w:ascii="Arial" w:hAnsi="Arial" w:cs="Arial"/>
        <w:sz w:val="16"/>
        <w:szCs w:val="16"/>
      </w:rPr>
      <w:t>oc. 0450 / Rev. 1</w:t>
    </w:r>
    <w:r w:rsidR="002B26FB">
      <w:rPr>
        <w:rFonts w:ascii="Arial" w:hAnsi="Arial" w:cs="Arial"/>
        <w:sz w:val="16"/>
        <w:szCs w:val="16"/>
      </w:rPr>
      <w:t>3</w:t>
    </w:r>
    <w:r w:rsidR="00141834">
      <w:rPr>
        <w:rFonts w:ascii="Arial" w:hAnsi="Arial" w:cs="Arial"/>
        <w:sz w:val="16"/>
        <w:szCs w:val="16"/>
      </w:rPr>
      <w:t xml:space="preserve"> / </w:t>
    </w:r>
    <w:r w:rsidR="000C5B9C">
      <w:rPr>
        <w:rFonts w:ascii="Arial" w:hAnsi="Arial" w:cs="Arial"/>
        <w:sz w:val="16"/>
        <w:szCs w:val="16"/>
      </w:rPr>
      <w:t>14</w:t>
    </w:r>
    <w:r w:rsidR="00F12346">
      <w:rPr>
        <w:rFonts w:ascii="Arial" w:hAnsi="Arial" w:cs="Arial"/>
        <w:sz w:val="16"/>
        <w:szCs w:val="16"/>
      </w:rPr>
      <w:t>.</w:t>
    </w:r>
    <w:r w:rsidR="000E38DC">
      <w:rPr>
        <w:rFonts w:ascii="Arial" w:hAnsi="Arial" w:cs="Arial"/>
        <w:sz w:val="16"/>
        <w:szCs w:val="16"/>
      </w:rPr>
      <w:t>0</w:t>
    </w:r>
    <w:r w:rsidR="00FD7301">
      <w:rPr>
        <w:rFonts w:ascii="Arial" w:hAnsi="Arial" w:cs="Arial"/>
        <w:sz w:val="16"/>
        <w:szCs w:val="16"/>
      </w:rPr>
      <w:t>5</w:t>
    </w:r>
    <w:r>
      <w:rPr>
        <w:rFonts w:ascii="Arial" w:hAnsi="Arial" w:cs="Arial"/>
        <w:sz w:val="16"/>
        <w:szCs w:val="16"/>
      </w:rPr>
      <w:t>.20</w:t>
    </w:r>
    <w:r w:rsidR="008460DB">
      <w:rPr>
        <w:rFonts w:ascii="Arial" w:hAnsi="Arial" w:cs="Arial"/>
        <w:sz w:val="16"/>
        <w:szCs w:val="16"/>
      </w:rPr>
      <w:t>2</w:t>
    </w:r>
    <w:r w:rsidR="002B26FB">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2709" w14:textId="77777777" w:rsidR="000A1AD5" w:rsidRDefault="000A1AD5">
      <w:r>
        <w:separator/>
      </w:r>
    </w:p>
  </w:footnote>
  <w:footnote w:type="continuationSeparator" w:id="0">
    <w:p w14:paraId="4937736A" w14:textId="77777777" w:rsidR="000A1AD5" w:rsidRDefault="000A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9"/>
      <w:gridCol w:w="5670"/>
      <w:gridCol w:w="2409"/>
    </w:tblGrid>
    <w:tr w:rsidR="0046475C" w:rsidRPr="000B10FD" w14:paraId="4D6A9E03" w14:textId="77777777" w:rsidTr="00946CD8">
      <w:trPr>
        <w:trHeight w:val="856"/>
      </w:trPr>
      <w:tc>
        <w:tcPr>
          <w:tcW w:w="2269" w:type="dxa"/>
          <w:vMerge w:val="restart"/>
          <w:vAlign w:val="center"/>
        </w:tcPr>
        <w:p w14:paraId="70D69C78" w14:textId="77777777" w:rsidR="0046475C" w:rsidRDefault="0046475C" w:rsidP="00946CD8">
          <w:pPr>
            <w:spacing w:before="120"/>
            <w:jc w:val="center"/>
            <w:rPr>
              <w:sz w:val="18"/>
              <w:szCs w:val="18"/>
            </w:rPr>
          </w:pPr>
          <w:r w:rsidRPr="00EB3FC4">
            <w:rPr>
              <w:sz w:val="18"/>
              <w:szCs w:val="18"/>
            </w:rPr>
            <w:t>Seite/Page</w:t>
          </w:r>
          <w:r>
            <w:rPr>
              <w:sz w:val="18"/>
              <w:szCs w:val="18"/>
            </w:rPr>
            <w:t xml:space="preserve"> </w:t>
          </w:r>
          <w:r w:rsidRPr="00EB3FC4">
            <w:rPr>
              <w:sz w:val="18"/>
              <w:szCs w:val="18"/>
            </w:rPr>
            <w:fldChar w:fldCharType="begin"/>
          </w:r>
          <w:r w:rsidRPr="00EB3FC4">
            <w:rPr>
              <w:sz w:val="18"/>
              <w:szCs w:val="18"/>
            </w:rPr>
            <w:instrText xml:space="preserve"> PAGE </w:instrText>
          </w:r>
          <w:r w:rsidRPr="00EB3FC4">
            <w:rPr>
              <w:sz w:val="18"/>
              <w:szCs w:val="18"/>
            </w:rPr>
            <w:fldChar w:fldCharType="separate"/>
          </w:r>
          <w:r w:rsidR="002654B6">
            <w:rPr>
              <w:noProof/>
              <w:sz w:val="18"/>
              <w:szCs w:val="18"/>
            </w:rPr>
            <w:t>11</w:t>
          </w:r>
          <w:r w:rsidRPr="00EB3FC4">
            <w:rPr>
              <w:sz w:val="18"/>
              <w:szCs w:val="18"/>
            </w:rPr>
            <w:fldChar w:fldCharType="end"/>
          </w:r>
          <w:r w:rsidRPr="00EB3FC4">
            <w:rPr>
              <w:sz w:val="18"/>
              <w:szCs w:val="18"/>
            </w:rPr>
            <w:t xml:space="preserve"> </w:t>
          </w:r>
        </w:p>
        <w:p w14:paraId="743D9463" w14:textId="77777777" w:rsidR="0046475C" w:rsidRPr="00EB3FC4" w:rsidRDefault="0046475C" w:rsidP="00F85761">
          <w:pPr>
            <w:spacing w:before="120"/>
            <w:jc w:val="center"/>
            <w:rPr>
              <w:rFonts w:ascii="Times New Roman" w:hAnsi="Times New Roman"/>
              <w:sz w:val="18"/>
              <w:szCs w:val="18"/>
              <w:lang w:val="en-GB"/>
            </w:rPr>
          </w:pPr>
          <w:r>
            <w:rPr>
              <w:sz w:val="18"/>
              <w:szCs w:val="18"/>
            </w:rPr>
            <w:t>von/</w:t>
          </w:r>
          <w:proofErr w:type="spellStart"/>
          <w:r w:rsidRPr="00EB3FC4">
            <w:rPr>
              <w:sz w:val="18"/>
              <w:szCs w:val="18"/>
            </w:rPr>
            <w:t>of</w:t>
          </w:r>
          <w:proofErr w:type="spellEnd"/>
          <w:r>
            <w:rPr>
              <w:sz w:val="18"/>
              <w:szCs w:val="18"/>
            </w:rPr>
            <w:t xml:space="preserve"> </w:t>
          </w:r>
          <w:r w:rsidRPr="00EB3FC4">
            <w:rPr>
              <w:sz w:val="18"/>
              <w:szCs w:val="18"/>
            </w:rPr>
            <w:fldChar w:fldCharType="begin"/>
          </w:r>
          <w:r w:rsidRPr="00EB3FC4">
            <w:rPr>
              <w:sz w:val="18"/>
              <w:szCs w:val="18"/>
            </w:rPr>
            <w:instrText xml:space="preserve"> NUMPAGES </w:instrText>
          </w:r>
          <w:r w:rsidRPr="00EB3FC4">
            <w:rPr>
              <w:sz w:val="18"/>
              <w:szCs w:val="18"/>
            </w:rPr>
            <w:fldChar w:fldCharType="separate"/>
          </w:r>
          <w:r w:rsidR="002654B6">
            <w:rPr>
              <w:noProof/>
              <w:sz w:val="18"/>
              <w:szCs w:val="18"/>
            </w:rPr>
            <w:t>17</w:t>
          </w:r>
          <w:r w:rsidRPr="00EB3FC4">
            <w:rPr>
              <w:sz w:val="18"/>
              <w:szCs w:val="18"/>
            </w:rPr>
            <w:fldChar w:fldCharType="end"/>
          </w:r>
        </w:p>
      </w:tc>
      <w:tc>
        <w:tcPr>
          <w:tcW w:w="5670" w:type="dxa"/>
          <w:vAlign w:val="center"/>
        </w:tcPr>
        <w:p w14:paraId="79729046" w14:textId="77777777" w:rsidR="0046475C" w:rsidRPr="000B10FD" w:rsidRDefault="0046475C" w:rsidP="00946CD8">
          <w:pPr>
            <w:keepNext/>
            <w:tabs>
              <w:tab w:val="center" w:pos="4536"/>
              <w:tab w:val="right" w:pos="9072"/>
            </w:tabs>
            <w:overflowPunct w:val="0"/>
            <w:autoSpaceDE w:val="0"/>
            <w:autoSpaceDN w:val="0"/>
            <w:adjustRightInd w:val="0"/>
            <w:spacing w:after="60"/>
            <w:jc w:val="center"/>
            <w:textAlignment w:val="baseline"/>
            <w:rPr>
              <w:rFonts w:ascii="Arial" w:hAnsi="Arial" w:cs="Arial"/>
              <w:b/>
              <w:bCs/>
              <w:sz w:val="32"/>
              <w:szCs w:val="32"/>
              <w:lang w:val="en-GB"/>
            </w:rPr>
          </w:pPr>
          <w:r>
            <w:rPr>
              <w:rFonts w:ascii="Arial" w:hAnsi="Arial"/>
              <w:b/>
              <w:sz w:val="28"/>
            </w:rPr>
            <w:t>Qualitätssicherungsvereinbarung</w:t>
          </w:r>
        </w:p>
      </w:tc>
      <w:tc>
        <w:tcPr>
          <w:tcW w:w="2409" w:type="dxa"/>
          <w:vMerge w:val="restart"/>
          <w:vAlign w:val="center"/>
        </w:tcPr>
        <w:p w14:paraId="3B15C671" w14:textId="77777777" w:rsidR="0046475C" w:rsidRPr="000B10FD" w:rsidRDefault="0046475C" w:rsidP="00946CD8">
          <w:pPr>
            <w:keepNext/>
            <w:overflowPunct w:val="0"/>
            <w:autoSpaceDE w:val="0"/>
            <w:autoSpaceDN w:val="0"/>
            <w:adjustRightInd w:val="0"/>
            <w:ind w:left="57"/>
            <w:jc w:val="center"/>
            <w:textAlignment w:val="baseline"/>
            <w:rPr>
              <w:rFonts w:ascii="Arial" w:hAnsi="Arial"/>
              <w:sz w:val="16"/>
              <w:szCs w:val="16"/>
            </w:rPr>
          </w:pPr>
          <w:r>
            <w:rPr>
              <w:rFonts w:ascii="Arial" w:hAnsi="Arial"/>
              <w:noProof/>
              <w:sz w:val="16"/>
              <w:szCs w:val="16"/>
            </w:rPr>
            <w:drawing>
              <wp:inline distT="0" distB="0" distL="0" distR="0" wp14:anchorId="64F6D064" wp14:editId="6BA56989">
                <wp:extent cx="1428750" cy="523875"/>
                <wp:effectExtent l="0" t="0" r="0" b="0"/>
                <wp:docPr id="1" name="Bild 1" descr="kayser_automotive_logo_rgb_schutz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ser_automotive_logo_rgb_schutz_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23875"/>
                        </a:xfrm>
                        <a:prstGeom prst="rect">
                          <a:avLst/>
                        </a:prstGeom>
                        <a:noFill/>
                        <a:ln>
                          <a:noFill/>
                        </a:ln>
                      </pic:spPr>
                    </pic:pic>
                  </a:graphicData>
                </a:graphic>
              </wp:inline>
            </w:drawing>
          </w:r>
        </w:p>
      </w:tc>
    </w:tr>
    <w:tr w:rsidR="0046475C" w:rsidRPr="00AB1B21" w14:paraId="59F20C55" w14:textId="77777777" w:rsidTr="00946CD8">
      <w:trPr>
        <w:trHeight w:val="856"/>
      </w:trPr>
      <w:tc>
        <w:tcPr>
          <w:tcW w:w="2269" w:type="dxa"/>
          <w:vMerge/>
          <w:vAlign w:val="center"/>
        </w:tcPr>
        <w:p w14:paraId="0E3CC571" w14:textId="77777777" w:rsidR="0046475C" w:rsidRPr="00EB3FC4" w:rsidRDefault="0046475C" w:rsidP="000B10FD">
          <w:pPr>
            <w:spacing w:before="120"/>
            <w:jc w:val="center"/>
            <w:rPr>
              <w:sz w:val="18"/>
              <w:szCs w:val="18"/>
            </w:rPr>
          </w:pPr>
        </w:p>
      </w:tc>
      <w:tc>
        <w:tcPr>
          <w:tcW w:w="5670" w:type="dxa"/>
          <w:vAlign w:val="center"/>
        </w:tcPr>
        <w:p w14:paraId="4C6F2630" w14:textId="77777777" w:rsidR="0046475C" w:rsidRPr="000B10FD" w:rsidRDefault="0046475C" w:rsidP="00C257ED">
          <w:pPr>
            <w:keepNext/>
            <w:tabs>
              <w:tab w:val="center" w:pos="4536"/>
              <w:tab w:val="right" w:pos="9072"/>
            </w:tabs>
            <w:overflowPunct w:val="0"/>
            <w:autoSpaceDE w:val="0"/>
            <w:autoSpaceDN w:val="0"/>
            <w:adjustRightInd w:val="0"/>
            <w:spacing w:after="60"/>
            <w:jc w:val="center"/>
            <w:textAlignment w:val="baseline"/>
            <w:rPr>
              <w:rFonts w:ascii="Arial" w:hAnsi="Arial" w:cs="Arial"/>
              <w:b/>
              <w:bCs/>
              <w:sz w:val="32"/>
              <w:szCs w:val="32"/>
              <w:lang w:val="en-GB"/>
            </w:rPr>
          </w:pPr>
          <w:r>
            <w:rPr>
              <w:rFonts w:ascii="Arial" w:hAnsi="Arial"/>
              <w:b/>
              <w:sz w:val="28"/>
            </w:rPr>
            <w:t>Quality Assurance Agreement</w:t>
          </w:r>
        </w:p>
      </w:tc>
      <w:tc>
        <w:tcPr>
          <w:tcW w:w="2409" w:type="dxa"/>
          <w:vMerge/>
        </w:tcPr>
        <w:p w14:paraId="5F18EABC" w14:textId="77777777" w:rsidR="0046475C" w:rsidRPr="007C00C9" w:rsidRDefault="0046475C" w:rsidP="000B10FD">
          <w:pPr>
            <w:keepNext/>
            <w:overflowPunct w:val="0"/>
            <w:autoSpaceDE w:val="0"/>
            <w:autoSpaceDN w:val="0"/>
            <w:adjustRightInd w:val="0"/>
            <w:ind w:left="57"/>
            <w:jc w:val="center"/>
            <w:textAlignment w:val="baseline"/>
            <w:rPr>
              <w:rFonts w:ascii="Arial" w:hAnsi="Arial"/>
              <w:noProof/>
              <w:sz w:val="16"/>
              <w:szCs w:val="16"/>
              <w:lang w:val="en-US"/>
            </w:rPr>
          </w:pPr>
        </w:p>
      </w:tc>
    </w:tr>
  </w:tbl>
  <w:p w14:paraId="35CFF125" w14:textId="77777777" w:rsidR="0046475C" w:rsidRPr="007C00C9" w:rsidRDefault="0046475C" w:rsidP="000B10F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DBB"/>
    <w:multiLevelType w:val="multilevel"/>
    <w:tmpl w:val="FB80FF50"/>
    <w:lvl w:ilvl="0">
      <w:start w:val="1"/>
      <w:numFmt w:val="decimal"/>
      <w:pStyle w:val="berschriftEN1"/>
      <w:lvlText w:val="%1."/>
      <w:lvlJc w:val="left"/>
      <w:pPr>
        <w:ind w:left="360" w:hanging="360"/>
      </w:pPr>
      <w:rPr>
        <w:rFonts w:hint="default"/>
      </w:rPr>
    </w:lvl>
    <w:lvl w:ilvl="1">
      <w:start w:val="1"/>
      <w:numFmt w:val="decimal"/>
      <w:pStyle w:val="berschriftE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1C5075"/>
    <w:multiLevelType w:val="hybridMultilevel"/>
    <w:tmpl w:val="D36C8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330F9A"/>
    <w:multiLevelType w:val="hybridMultilevel"/>
    <w:tmpl w:val="392CD9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BD0918"/>
    <w:multiLevelType w:val="multilevel"/>
    <w:tmpl w:val="7CBEFB5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1027D"/>
    <w:multiLevelType w:val="hybridMultilevel"/>
    <w:tmpl w:val="4500A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BD32B8"/>
    <w:multiLevelType w:val="hybridMultilevel"/>
    <w:tmpl w:val="08F8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F0C0A"/>
    <w:multiLevelType w:val="hybridMultilevel"/>
    <w:tmpl w:val="B7FA9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94623"/>
    <w:multiLevelType w:val="hybridMultilevel"/>
    <w:tmpl w:val="E08E6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624A63"/>
    <w:multiLevelType w:val="hybridMultilevel"/>
    <w:tmpl w:val="2F564DB2"/>
    <w:lvl w:ilvl="0" w:tplc="04070001">
      <w:start w:val="1"/>
      <w:numFmt w:val="bullet"/>
      <w:lvlText w:val=""/>
      <w:lvlJc w:val="left"/>
      <w:pPr>
        <w:ind w:left="720" w:hanging="360"/>
      </w:pPr>
      <w:rPr>
        <w:rFonts w:ascii="Symbol" w:hAnsi="Symbol" w:hint="default"/>
      </w:rPr>
    </w:lvl>
    <w:lvl w:ilvl="1" w:tplc="DD6862F0">
      <w:start w:val="9"/>
      <w:numFmt w:val="bullet"/>
      <w:lvlText w:val="-"/>
      <w:lvlJc w:val="left"/>
      <w:pPr>
        <w:ind w:left="1440" w:hanging="360"/>
      </w:pPr>
      <w:rPr>
        <w:rFonts w:ascii="Arial" w:eastAsia="Times New Roman" w:hAnsi="Arial" w:cs="Aria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BB00BC"/>
    <w:multiLevelType w:val="hybridMultilevel"/>
    <w:tmpl w:val="392CD9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2C961B9"/>
    <w:multiLevelType w:val="hybridMultilevel"/>
    <w:tmpl w:val="A7B08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586C33"/>
    <w:multiLevelType w:val="hybridMultilevel"/>
    <w:tmpl w:val="5726D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041137"/>
    <w:multiLevelType w:val="hybridMultilevel"/>
    <w:tmpl w:val="2E6E7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8608014">
    <w:abstractNumId w:val="0"/>
  </w:num>
  <w:num w:numId="2" w16cid:durableId="1438671828">
    <w:abstractNumId w:val="3"/>
  </w:num>
  <w:num w:numId="3" w16cid:durableId="581333102">
    <w:abstractNumId w:val="2"/>
  </w:num>
  <w:num w:numId="4" w16cid:durableId="1839153919">
    <w:abstractNumId w:val="10"/>
  </w:num>
  <w:num w:numId="5" w16cid:durableId="2065638777">
    <w:abstractNumId w:val="12"/>
  </w:num>
  <w:num w:numId="6" w16cid:durableId="1547913658">
    <w:abstractNumId w:val="6"/>
  </w:num>
  <w:num w:numId="7" w16cid:durableId="661347676">
    <w:abstractNumId w:val="5"/>
  </w:num>
  <w:num w:numId="8" w16cid:durableId="1003319133">
    <w:abstractNumId w:val="8"/>
  </w:num>
  <w:num w:numId="9" w16cid:durableId="355010479">
    <w:abstractNumId w:val="11"/>
  </w:num>
  <w:num w:numId="10" w16cid:durableId="1875078659">
    <w:abstractNumId w:val="1"/>
  </w:num>
  <w:num w:numId="11" w16cid:durableId="1523127986">
    <w:abstractNumId w:val="4"/>
  </w:num>
  <w:num w:numId="12" w16cid:durableId="1164474904">
    <w:abstractNumId w:val="7"/>
  </w:num>
  <w:num w:numId="13" w16cid:durableId="26755987">
    <w:abstractNumId w:val="9"/>
  </w:num>
  <w:num w:numId="14" w16cid:durableId="1194226784">
    <w:abstractNumId w:val="3"/>
  </w:num>
  <w:num w:numId="15" w16cid:durableId="349261663">
    <w:abstractNumId w:val="3"/>
  </w:num>
  <w:num w:numId="16" w16cid:durableId="34714756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de-DE"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1stxnBx8QM1BoCaTmFvBVsi8HqAGwnZyxQzkRibh+DHfo3TwhxPBGmfmJ5ZP/qxIQETYv3gV/1BehmmJoN8/w==" w:salt="SD9I4TCTrD1NjYBi17BYb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ED"/>
    <w:rsid w:val="00001AB7"/>
    <w:rsid w:val="00004C00"/>
    <w:rsid w:val="00004D71"/>
    <w:rsid w:val="00005FD2"/>
    <w:rsid w:val="0000796F"/>
    <w:rsid w:val="00011335"/>
    <w:rsid w:val="000125C0"/>
    <w:rsid w:val="00017D97"/>
    <w:rsid w:val="00021260"/>
    <w:rsid w:val="00021356"/>
    <w:rsid w:val="000213E7"/>
    <w:rsid w:val="000258E0"/>
    <w:rsid w:val="00026D9C"/>
    <w:rsid w:val="00031413"/>
    <w:rsid w:val="00031DBB"/>
    <w:rsid w:val="000337CE"/>
    <w:rsid w:val="00033EF0"/>
    <w:rsid w:val="000353E2"/>
    <w:rsid w:val="00037452"/>
    <w:rsid w:val="00041830"/>
    <w:rsid w:val="00041BB2"/>
    <w:rsid w:val="0004215B"/>
    <w:rsid w:val="000422B6"/>
    <w:rsid w:val="00043473"/>
    <w:rsid w:val="0004443A"/>
    <w:rsid w:val="000466B5"/>
    <w:rsid w:val="00051617"/>
    <w:rsid w:val="00056150"/>
    <w:rsid w:val="0005677F"/>
    <w:rsid w:val="000605DC"/>
    <w:rsid w:val="00060CB2"/>
    <w:rsid w:val="00064410"/>
    <w:rsid w:val="0006485F"/>
    <w:rsid w:val="00065004"/>
    <w:rsid w:val="000667C3"/>
    <w:rsid w:val="00070475"/>
    <w:rsid w:val="0007169C"/>
    <w:rsid w:val="000728AB"/>
    <w:rsid w:val="0007324C"/>
    <w:rsid w:val="00074407"/>
    <w:rsid w:val="00074AAD"/>
    <w:rsid w:val="00076F16"/>
    <w:rsid w:val="00084250"/>
    <w:rsid w:val="00086D4C"/>
    <w:rsid w:val="00086DD7"/>
    <w:rsid w:val="00093A45"/>
    <w:rsid w:val="0009426A"/>
    <w:rsid w:val="00094CB3"/>
    <w:rsid w:val="00096160"/>
    <w:rsid w:val="000A1AD5"/>
    <w:rsid w:val="000A572D"/>
    <w:rsid w:val="000A5E60"/>
    <w:rsid w:val="000B10FD"/>
    <w:rsid w:val="000B7F11"/>
    <w:rsid w:val="000C0426"/>
    <w:rsid w:val="000C4113"/>
    <w:rsid w:val="000C5982"/>
    <w:rsid w:val="000C5B9C"/>
    <w:rsid w:val="000C71FC"/>
    <w:rsid w:val="000D04ED"/>
    <w:rsid w:val="000D09FD"/>
    <w:rsid w:val="000E13CA"/>
    <w:rsid w:val="000E38DC"/>
    <w:rsid w:val="000E421F"/>
    <w:rsid w:val="000F039C"/>
    <w:rsid w:val="000F0690"/>
    <w:rsid w:val="000F1677"/>
    <w:rsid w:val="000F2FB3"/>
    <w:rsid w:val="000F7B05"/>
    <w:rsid w:val="001005DE"/>
    <w:rsid w:val="001015C4"/>
    <w:rsid w:val="00102CA2"/>
    <w:rsid w:val="001031C0"/>
    <w:rsid w:val="001057D6"/>
    <w:rsid w:val="00110675"/>
    <w:rsid w:val="00111C59"/>
    <w:rsid w:val="00114C5B"/>
    <w:rsid w:val="001176B8"/>
    <w:rsid w:val="00124E37"/>
    <w:rsid w:val="00125557"/>
    <w:rsid w:val="0012659A"/>
    <w:rsid w:val="001267C8"/>
    <w:rsid w:val="00130118"/>
    <w:rsid w:val="001316C7"/>
    <w:rsid w:val="001333EC"/>
    <w:rsid w:val="00133C19"/>
    <w:rsid w:val="001365C3"/>
    <w:rsid w:val="00141072"/>
    <w:rsid w:val="00141834"/>
    <w:rsid w:val="0014212A"/>
    <w:rsid w:val="00146615"/>
    <w:rsid w:val="00146FB1"/>
    <w:rsid w:val="0014740E"/>
    <w:rsid w:val="0015050E"/>
    <w:rsid w:val="001525BC"/>
    <w:rsid w:val="00153010"/>
    <w:rsid w:val="00153583"/>
    <w:rsid w:val="00153BE6"/>
    <w:rsid w:val="0015566B"/>
    <w:rsid w:val="001558A3"/>
    <w:rsid w:val="001571A5"/>
    <w:rsid w:val="0016033A"/>
    <w:rsid w:val="00160CC9"/>
    <w:rsid w:val="001646D0"/>
    <w:rsid w:val="00166014"/>
    <w:rsid w:val="00167F98"/>
    <w:rsid w:val="001713CA"/>
    <w:rsid w:val="00171FAD"/>
    <w:rsid w:val="00174CF9"/>
    <w:rsid w:val="00176877"/>
    <w:rsid w:val="00181CB3"/>
    <w:rsid w:val="001919F1"/>
    <w:rsid w:val="001928D2"/>
    <w:rsid w:val="001954AE"/>
    <w:rsid w:val="001A1560"/>
    <w:rsid w:val="001A3612"/>
    <w:rsid w:val="001A7A3D"/>
    <w:rsid w:val="001A7EB7"/>
    <w:rsid w:val="001B0834"/>
    <w:rsid w:val="001B0DB6"/>
    <w:rsid w:val="001B3D49"/>
    <w:rsid w:val="001B4078"/>
    <w:rsid w:val="001B51E5"/>
    <w:rsid w:val="001C0674"/>
    <w:rsid w:val="001C2137"/>
    <w:rsid w:val="001C56C7"/>
    <w:rsid w:val="001D1001"/>
    <w:rsid w:val="001D3C28"/>
    <w:rsid w:val="001D4505"/>
    <w:rsid w:val="001D527D"/>
    <w:rsid w:val="001D5B83"/>
    <w:rsid w:val="001E3A44"/>
    <w:rsid w:val="001E570D"/>
    <w:rsid w:val="001E5A28"/>
    <w:rsid w:val="001E5D9B"/>
    <w:rsid w:val="001E6963"/>
    <w:rsid w:val="001E6BC0"/>
    <w:rsid w:val="001E72FD"/>
    <w:rsid w:val="001F4A0D"/>
    <w:rsid w:val="0020022B"/>
    <w:rsid w:val="00200570"/>
    <w:rsid w:val="00201161"/>
    <w:rsid w:val="0020260B"/>
    <w:rsid w:val="00205DBD"/>
    <w:rsid w:val="0020670C"/>
    <w:rsid w:val="00207753"/>
    <w:rsid w:val="0021072B"/>
    <w:rsid w:val="0021155F"/>
    <w:rsid w:val="0021796E"/>
    <w:rsid w:val="00220E7E"/>
    <w:rsid w:val="00221338"/>
    <w:rsid w:val="00221F83"/>
    <w:rsid w:val="00223B8D"/>
    <w:rsid w:val="002240AD"/>
    <w:rsid w:val="00224670"/>
    <w:rsid w:val="00233A05"/>
    <w:rsid w:val="00240E76"/>
    <w:rsid w:val="00241AD8"/>
    <w:rsid w:val="00246FDF"/>
    <w:rsid w:val="0025014C"/>
    <w:rsid w:val="002545A6"/>
    <w:rsid w:val="00256016"/>
    <w:rsid w:val="00261FBA"/>
    <w:rsid w:val="002654B6"/>
    <w:rsid w:val="00266F8A"/>
    <w:rsid w:val="00271016"/>
    <w:rsid w:val="00275105"/>
    <w:rsid w:val="0027624F"/>
    <w:rsid w:val="00281EDA"/>
    <w:rsid w:val="0028579D"/>
    <w:rsid w:val="00291AF5"/>
    <w:rsid w:val="00291E6E"/>
    <w:rsid w:val="00292FFA"/>
    <w:rsid w:val="002936D7"/>
    <w:rsid w:val="00297CD4"/>
    <w:rsid w:val="00297DF1"/>
    <w:rsid w:val="002A0765"/>
    <w:rsid w:val="002A11E4"/>
    <w:rsid w:val="002A2AD0"/>
    <w:rsid w:val="002A2C78"/>
    <w:rsid w:val="002A5D54"/>
    <w:rsid w:val="002A6EC7"/>
    <w:rsid w:val="002A7780"/>
    <w:rsid w:val="002B161D"/>
    <w:rsid w:val="002B26FB"/>
    <w:rsid w:val="002C1609"/>
    <w:rsid w:val="002C5554"/>
    <w:rsid w:val="002D0B86"/>
    <w:rsid w:val="002D553E"/>
    <w:rsid w:val="002D66CA"/>
    <w:rsid w:val="002D75E1"/>
    <w:rsid w:val="002E11C6"/>
    <w:rsid w:val="002E311B"/>
    <w:rsid w:val="002E4E24"/>
    <w:rsid w:val="002F0881"/>
    <w:rsid w:val="002F105A"/>
    <w:rsid w:val="002F2F52"/>
    <w:rsid w:val="002F768F"/>
    <w:rsid w:val="00304DCC"/>
    <w:rsid w:val="00304F33"/>
    <w:rsid w:val="0030557C"/>
    <w:rsid w:val="00306147"/>
    <w:rsid w:val="00311578"/>
    <w:rsid w:val="00312919"/>
    <w:rsid w:val="003151AD"/>
    <w:rsid w:val="003170B5"/>
    <w:rsid w:val="003179CF"/>
    <w:rsid w:val="00321FAD"/>
    <w:rsid w:val="00324F68"/>
    <w:rsid w:val="00327DF8"/>
    <w:rsid w:val="00332FA5"/>
    <w:rsid w:val="003357B2"/>
    <w:rsid w:val="00336626"/>
    <w:rsid w:val="0033731B"/>
    <w:rsid w:val="003437CA"/>
    <w:rsid w:val="00345538"/>
    <w:rsid w:val="003623E5"/>
    <w:rsid w:val="00363E5B"/>
    <w:rsid w:val="00367B63"/>
    <w:rsid w:val="0037375D"/>
    <w:rsid w:val="003744F9"/>
    <w:rsid w:val="003755DA"/>
    <w:rsid w:val="00376489"/>
    <w:rsid w:val="003806AF"/>
    <w:rsid w:val="003832A3"/>
    <w:rsid w:val="00385807"/>
    <w:rsid w:val="00387BC5"/>
    <w:rsid w:val="00390380"/>
    <w:rsid w:val="00391F3B"/>
    <w:rsid w:val="00393F49"/>
    <w:rsid w:val="003949DB"/>
    <w:rsid w:val="003962D3"/>
    <w:rsid w:val="003A3648"/>
    <w:rsid w:val="003A42B9"/>
    <w:rsid w:val="003A6EE1"/>
    <w:rsid w:val="003B0B12"/>
    <w:rsid w:val="003B1F8C"/>
    <w:rsid w:val="003B2010"/>
    <w:rsid w:val="003B20FA"/>
    <w:rsid w:val="003B25C6"/>
    <w:rsid w:val="003B41EB"/>
    <w:rsid w:val="003B4F2A"/>
    <w:rsid w:val="003C1F23"/>
    <w:rsid w:val="003D1CA9"/>
    <w:rsid w:val="003D4AF6"/>
    <w:rsid w:val="003D593F"/>
    <w:rsid w:val="003E05B7"/>
    <w:rsid w:val="003E5E66"/>
    <w:rsid w:val="003E5E75"/>
    <w:rsid w:val="003E61CE"/>
    <w:rsid w:val="003F13B5"/>
    <w:rsid w:val="004006D5"/>
    <w:rsid w:val="004021B6"/>
    <w:rsid w:val="004043C4"/>
    <w:rsid w:val="00405890"/>
    <w:rsid w:val="00406150"/>
    <w:rsid w:val="00410CB0"/>
    <w:rsid w:val="004117A5"/>
    <w:rsid w:val="00414B4A"/>
    <w:rsid w:val="00415130"/>
    <w:rsid w:val="00417A97"/>
    <w:rsid w:val="00421C47"/>
    <w:rsid w:val="00424881"/>
    <w:rsid w:val="0042647E"/>
    <w:rsid w:val="0042674D"/>
    <w:rsid w:val="004275F2"/>
    <w:rsid w:val="004322C8"/>
    <w:rsid w:val="004333ED"/>
    <w:rsid w:val="00434EBE"/>
    <w:rsid w:val="00436A8D"/>
    <w:rsid w:val="004370E5"/>
    <w:rsid w:val="00437200"/>
    <w:rsid w:val="0043731C"/>
    <w:rsid w:val="00440635"/>
    <w:rsid w:val="00451CA2"/>
    <w:rsid w:val="0045414A"/>
    <w:rsid w:val="004558C1"/>
    <w:rsid w:val="00461BC4"/>
    <w:rsid w:val="00462C1F"/>
    <w:rsid w:val="00463482"/>
    <w:rsid w:val="004642E0"/>
    <w:rsid w:val="00464416"/>
    <w:rsid w:val="0046475C"/>
    <w:rsid w:val="00465F22"/>
    <w:rsid w:val="00465F9A"/>
    <w:rsid w:val="004665FA"/>
    <w:rsid w:val="00466624"/>
    <w:rsid w:val="00466FB0"/>
    <w:rsid w:val="004700EF"/>
    <w:rsid w:val="00472FAE"/>
    <w:rsid w:val="00473277"/>
    <w:rsid w:val="0047496E"/>
    <w:rsid w:val="004775E4"/>
    <w:rsid w:val="0048050F"/>
    <w:rsid w:val="00482277"/>
    <w:rsid w:val="004841BA"/>
    <w:rsid w:val="004841ED"/>
    <w:rsid w:val="004864B0"/>
    <w:rsid w:val="004870B8"/>
    <w:rsid w:val="004906D8"/>
    <w:rsid w:val="0049306A"/>
    <w:rsid w:val="0049421D"/>
    <w:rsid w:val="004949F8"/>
    <w:rsid w:val="0049681A"/>
    <w:rsid w:val="004972DF"/>
    <w:rsid w:val="004A64A8"/>
    <w:rsid w:val="004B1745"/>
    <w:rsid w:val="004B1852"/>
    <w:rsid w:val="004B2E5E"/>
    <w:rsid w:val="004B3CBB"/>
    <w:rsid w:val="004B3D6D"/>
    <w:rsid w:val="004B62CA"/>
    <w:rsid w:val="004C2214"/>
    <w:rsid w:val="004C3F7E"/>
    <w:rsid w:val="004D15D7"/>
    <w:rsid w:val="004D1831"/>
    <w:rsid w:val="004E2B14"/>
    <w:rsid w:val="004E73C9"/>
    <w:rsid w:val="004F0F06"/>
    <w:rsid w:val="004F2B8A"/>
    <w:rsid w:val="004F58E2"/>
    <w:rsid w:val="004F7D58"/>
    <w:rsid w:val="005026F5"/>
    <w:rsid w:val="00504F1E"/>
    <w:rsid w:val="0050658D"/>
    <w:rsid w:val="00507543"/>
    <w:rsid w:val="0050756A"/>
    <w:rsid w:val="005076D0"/>
    <w:rsid w:val="00510581"/>
    <w:rsid w:val="005111A7"/>
    <w:rsid w:val="005113F4"/>
    <w:rsid w:val="005132A6"/>
    <w:rsid w:val="005135DE"/>
    <w:rsid w:val="00514835"/>
    <w:rsid w:val="00523A27"/>
    <w:rsid w:val="00524CFE"/>
    <w:rsid w:val="005336C4"/>
    <w:rsid w:val="00533D09"/>
    <w:rsid w:val="00534B37"/>
    <w:rsid w:val="00540768"/>
    <w:rsid w:val="00541D9F"/>
    <w:rsid w:val="00544C75"/>
    <w:rsid w:val="00545DD6"/>
    <w:rsid w:val="005463D7"/>
    <w:rsid w:val="00546FD3"/>
    <w:rsid w:val="00550AFA"/>
    <w:rsid w:val="0055145F"/>
    <w:rsid w:val="00553500"/>
    <w:rsid w:val="00553741"/>
    <w:rsid w:val="0055419E"/>
    <w:rsid w:val="00554736"/>
    <w:rsid w:val="00557124"/>
    <w:rsid w:val="005606CD"/>
    <w:rsid w:val="00560808"/>
    <w:rsid w:val="00561672"/>
    <w:rsid w:val="005633C7"/>
    <w:rsid w:val="0056363E"/>
    <w:rsid w:val="00565F0F"/>
    <w:rsid w:val="005662D8"/>
    <w:rsid w:val="005721CF"/>
    <w:rsid w:val="005740F2"/>
    <w:rsid w:val="0057796A"/>
    <w:rsid w:val="00581777"/>
    <w:rsid w:val="00581CEA"/>
    <w:rsid w:val="005919B7"/>
    <w:rsid w:val="0059200D"/>
    <w:rsid w:val="00593331"/>
    <w:rsid w:val="00593377"/>
    <w:rsid w:val="00593806"/>
    <w:rsid w:val="00594D9B"/>
    <w:rsid w:val="005969F7"/>
    <w:rsid w:val="00597476"/>
    <w:rsid w:val="005A0B77"/>
    <w:rsid w:val="005A7BF9"/>
    <w:rsid w:val="005B2B4D"/>
    <w:rsid w:val="005B30F0"/>
    <w:rsid w:val="005C0D71"/>
    <w:rsid w:val="005C29F0"/>
    <w:rsid w:val="005C29F4"/>
    <w:rsid w:val="005C30F3"/>
    <w:rsid w:val="005C3E67"/>
    <w:rsid w:val="005C7B03"/>
    <w:rsid w:val="005D07E4"/>
    <w:rsid w:val="005D5BB0"/>
    <w:rsid w:val="005D6FA0"/>
    <w:rsid w:val="005E0F8A"/>
    <w:rsid w:val="005E14AE"/>
    <w:rsid w:val="005E2634"/>
    <w:rsid w:val="005E2896"/>
    <w:rsid w:val="005E49D7"/>
    <w:rsid w:val="005F17D8"/>
    <w:rsid w:val="005F2850"/>
    <w:rsid w:val="005F68CD"/>
    <w:rsid w:val="006008F5"/>
    <w:rsid w:val="00603ECF"/>
    <w:rsid w:val="00607C99"/>
    <w:rsid w:val="006101D9"/>
    <w:rsid w:val="006103B7"/>
    <w:rsid w:val="00613A81"/>
    <w:rsid w:val="006144F7"/>
    <w:rsid w:val="006163FA"/>
    <w:rsid w:val="0062060F"/>
    <w:rsid w:val="0062096D"/>
    <w:rsid w:val="00624768"/>
    <w:rsid w:val="00624C4F"/>
    <w:rsid w:val="00626290"/>
    <w:rsid w:val="006263D4"/>
    <w:rsid w:val="00626AF5"/>
    <w:rsid w:val="00626F35"/>
    <w:rsid w:val="006270CD"/>
    <w:rsid w:val="00630DDC"/>
    <w:rsid w:val="00631727"/>
    <w:rsid w:val="0063221E"/>
    <w:rsid w:val="00633AC1"/>
    <w:rsid w:val="0063726C"/>
    <w:rsid w:val="0063750B"/>
    <w:rsid w:val="00640245"/>
    <w:rsid w:val="00640A9A"/>
    <w:rsid w:val="006416CB"/>
    <w:rsid w:val="00641A2C"/>
    <w:rsid w:val="00642DD2"/>
    <w:rsid w:val="00643F9E"/>
    <w:rsid w:val="00646225"/>
    <w:rsid w:val="006522B8"/>
    <w:rsid w:val="00653ADF"/>
    <w:rsid w:val="00654C48"/>
    <w:rsid w:val="00656BAD"/>
    <w:rsid w:val="00656C94"/>
    <w:rsid w:val="00657466"/>
    <w:rsid w:val="00660272"/>
    <w:rsid w:val="006615BC"/>
    <w:rsid w:val="00661D95"/>
    <w:rsid w:val="00670199"/>
    <w:rsid w:val="00670631"/>
    <w:rsid w:val="006706D5"/>
    <w:rsid w:val="0067154F"/>
    <w:rsid w:val="00672206"/>
    <w:rsid w:val="00675361"/>
    <w:rsid w:val="0067538B"/>
    <w:rsid w:val="0067557A"/>
    <w:rsid w:val="00676048"/>
    <w:rsid w:val="006763D8"/>
    <w:rsid w:val="00681176"/>
    <w:rsid w:val="00683772"/>
    <w:rsid w:val="00683CB3"/>
    <w:rsid w:val="00685B3E"/>
    <w:rsid w:val="00685DB6"/>
    <w:rsid w:val="006868B1"/>
    <w:rsid w:val="00687C97"/>
    <w:rsid w:val="00687EEE"/>
    <w:rsid w:val="0069069C"/>
    <w:rsid w:val="00691307"/>
    <w:rsid w:val="006946B6"/>
    <w:rsid w:val="00694ED1"/>
    <w:rsid w:val="00695123"/>
    <w:rsid w:val="006953E0"/>
    <w:rsid w:val="006A1996"/>
    <w:rsid w:val="006A2439"/>
    <w:rsid w:val="006A2AF3"/>
    <w:rsid w:val="006A2B42"/>
    <w:rsid w:val="006A55DB"/>
    <w:rsid w:val="006A6C68"/>
    <w:rsid w:val="006B177F"/>
    <w:rsid w:val="006B1FA1"/>
    <w:rsid w:val="006B22B1"/>
    <w:rsid w:val="006B5F7E"/>
    <w:rsid w:val="006C7D46"/>
    <w:rsid w:val="006D0681"/>
    <w:rsid w:val="006D0860"/>
    <w:rsid w:val="006D5AA7"/>
    <w:rsid w:val="006D6FD0"/>
    <w:rsid w:val="006E257D"/>
    <w:rsid w:val="006E4C79"/>
    <w:rsid w:val="006E603A"/>
    <w:rsid w:val="006E61CF"/>
    <w:rsid w:val="006F31AD"/>
    <w:rsid w:val="006F5D1C"/>
    <w:rsid w:val="006F5FF5"/>
    <w:rsid w:val="006F6176"/>
    <w:rsid w:val="006F66BF"/>
    <w:rsid w:val="00700AF5"/>
    <w:rsid w:val="00701DC6"/>
    <w:rsid w:val="00704A66"/>
    <w:rsid w:val="007139D8"/>
    <w:rsid w:val="0071492F"/>
    <w:rsid w:val="00722166"/>
    <w:rsid w:val="00727DB2"/>
    <w:rsid w:val="00731F99"/>
    <w:rsid w:val="00735A7F"/>
    <w:rsid w:val="00741566"/>
    <w:rsid w:val="00745A72"/>
    <w:rsid w:val="00751523"/>
    <w:rsid w:val="0075683F"/>
    <w:rsid w:val="00757FBE"/>
    <w:rsid w:val="007659BD"/>
    <w:rsid w:val="00765B52"/>
    <w:rsid w:val="00765DB4"/>
    <w:rsid w:val="00765F49"/>
    <w:rsid w:val="0076751C"/>
    <w:rsid w:val="0077162E"/>
    <w:rsid w:val="00772D16"/>
    <w:rsid w:val="00773523"/>
    <w:rsid w:val="00777061"/>
    <w:rsid w:val="00777084"/>
    <w:rsid w:val="00777821"/>
    <w:rsid w:val="0078195B"/>
    <w:rsid w:val="007826CD"/>
    <w:rsid w:val="0078320D"/>
    <w:rsid w:val="007836D1"/>
    <w:rsid w:val="00784B75"/>
    <w:rsid w:val="00786C76"/>
    <w:rsid w:val="0079017A"/>
    <w:rsid w:val="00793E59"/>
    <w:rsid w:val="00794288"/>
    <w:rsid w:val="00796A27"/>
    <w:rsid w:val="007A07BB"/>
    <w:rsid w:val="007A4315"/>
    <w:rsid w:val="007B049F"/>
    <w:rsid w:val="007B2A23"/>
    <w:rsid w:val="007B3D45"/>
    <w:rsid w:val="007B4436"/>
    <w:rsid w:val="007B571F"/>
    <w:rsid w:val="007B59A3"/>
    <w:rsid w:val="007B6681"/>
    <w:rsid w:val="007B7EDE"/>
    <w:rsid w:val="007C00C9"/>
    <w:rsid w:val="007C02F1"/>
    <w:rsid w:val="007C256C"/>
    <w:rsid w:val="007C370B"/>
    <w:rsid w:val="007C4FFB"/>
    <w:rsid w:val="007C69DC"/>
    <w:rsid w:val="007D1A82"/>
    <w:rsid w:val="007E2D90"/>
    <w:rsid w:val="007E3221"/>
    <w:rsid w:val="007E3CBB"/>
    <w:rsid w:val="007E4C5E"/>
    <w:rsid w:val="007E4D00"/>
    <w:rsid w:val="007E6D50"/>
    <w:rsid w:val="007F0425"/>
    <w:rsid w:val="007F24C8"/>
    <w:rsid w:val="007F29CB"/>
    <w:rsid w:val="007F2F23"/>
    <w:rsid w:val="007F6ACC"/>
    <w:rsid w:val="008001DD"/>
    <w:rsid w:val="008010FD"/>
    <w:rsid w:val="008055A6"/>
    <w:rsid w:val="00806C45"/>
    <w:rsid w:val="00811756"/>
    <w:rsid w:val="0081192C"/>
    <w:rsid w:val="00815849"/>
    <w:rsid w:val="00816000"/>
    <w:rsid w:val="00816680"/>
    <w:rsid w:val="0082253A"/>
    <w:rsid w:val="00825ABC"/>
    <w:rsid w:val="008260A0"/>
    <w:rsid w:val="008265C5"/>
    <w:rsid w:val="00831823"/>
    <w:rsid w:val="00831BE4"/>
    <w:rsid w:val="00831EBB"/>
    <w:rsid w:val="00834D4F"/>
    <w:rsid w:val="00835174"/>
    <w:rsid w:val="00841DCB"/>
    <w:rsid w:val="00841E4A"/>
    <w:rsid w:val="008423C3"/>
    <w:rsid w:val="00842C91"/>
    <w:rsid w:val="008460DB"/>
    <w:rsid w:val="0085132F"/>
    <w:rsid w:val="00852C6A"/>
    <w:rsid w:val="00853B0A"/>
    <w:rsid w:val="00853ECA"/>
    <w:rsid w:val="00854BA9"/>
    <w:rsid w:val="00855B9C"/>
    <w:rsid w:val="00857566"/>
    <w:rsid w:val="00857AC5"/>
    <w:rsid w:val="00857FDB"/>
    <w:rsid w:val="00860E33"/>
    <w:rsid w:val="00861EE9"/>
    <w:rsid w:val="00872C80"/>
    <w:rsid w:val="00872E2D"/>
    <w:rsid w:val="00873DB8"/>
    <w:rsid w:val="00874042"/>
    <w:rsid w:val="00875649"/>
    <w:rsid w:val="00876A70"/>
    <w:rsid w:val="008800A1"/>
    <w:rsid w:val="0088099A"/>
    <w:rsid w:val="0088114D"/>
    <w:rsid w:val="0088140A"/>
    <w:rsid w:val="008832C1"/>
    <w:rsid w:val="00883787"/>
    <w:rsid w:val="00884112"/>
    <w:rsid w:val="00886CE9"/>
    <w:rsid w:val="00892C6F"/>
    <w:rsid w:val="0089440B"/>
    <w:rsid w:val="00894A2F"/>
    <w:rsid w:val="008955A5"/>
    <w:rsid w:val="008A1526"/>
    <w:rsid w:val="008A18F6"/>
    <w:rsid w:val="008A4760"/>
    <w:rsid w:val="008A5DF0"/>
    <w:rsid w:val="008A6FFD"/>
    <w:rsid w:val="008A708C"/>
    <w:rsid w:val="008C001E"/>
    <w:rsid w:val="008C005E"/>
    <w:rsid w:val="008C3926"/>
    <w:rsid w:val="008D2192"/>
    <w:rsid w:val="008D6277"/>
    <w:rsid w:val="008E2254"/>
    <w:rsid w:val="008E2A4D"/>
    <w:rsid w:val="008E4C07"/>
    <w:rsid w:val="008E71FD"/>
    <w:rsid w:val="008F2B79"/>
    <w:rsid w:val="00901399"/>
    <w:rsid w:val="0090176D"/>
    <w:rsid w:val="00902584"/>
    <w:rsid w:val="0090773D"/>
    <w:rsid w:val="009117EB"/>
    <w:rsid w:val="0091390C"/>
    <w:rsid w:val="00913DDB"/>
    <w:rsid w:val="00915912"/>
    <w:rsid w:val="009164C1"/>
    <w:rsid w:val="00920D0B"/>
    <w:rsid w:val="00923B41"/>
    <w:rsid w:val="009240B7"/>
    <w:rsid w:val="00925AF2"/>
    <w:rsid w:val="009270C6"/>
    <w:rsid w:val="00933EE7"/>
    <w:rsid w:val="009378DD"/>
    <w:rsid w:val="0094334B"/>
    <w:rsid w:val="0094434D"/>
    <w:rsid w:val="00944792"/>
    <w:rsid w:val="00946CD8"/>
    <w:rsid w:val="009475B9"/>
    <w:rsid w:val="00950089"/>
    <w:rsid w:val="009545B4"/>
    <w:rsid w:val="00957768"/>
    <w:rsid w:val="009578EB"/>
    <w:rsid w:val="00957DB5"/>
    <w:rsid w:val="00960AD1"/>
    <w:rsid w:val="00961CC6"/>
    <w:rsid w:val="00961EDD"/>
    <w:rsid w:val="0096409B"/>
    <w:rsid w:val="0096580C"/>
    <w:rsid w:val="009678F6"/>
    <w:rsid w:val="00970EC6"/>
    <w:rsid w:val="009733D5"/>
    <w:rsid w:val="009762D8"/>
    <w:rsid w:val="0097683A"/>
    <w:rsid w:val="00976978"/>
    <w:rsid w:val="00983615"/>
    <w:rsid w:val="00983C6C"/>
    <w:rsid w:val="00984B94"/>
    <w:rsid w:val="00985BC7"/>
    <w:rsid w:val="00990050"/>
    <w:rsid w:val="0099223B"/>
    <w:rsid w:val="0099282E"/>
    <w:rsid w:val="00993E8A"/>
    <w:rsid w:val="00993FC3"/>
    <w:rsid w:val="00994AAD"/>
    <w:rsid w:val="009A03F2"/>
    <w:rsid w:val="009A07F4"/>
    <w:rsid w:val="009A0D21"/>
    <w:rsid w:val="009A3350"/>
    <w:rsid w:val="009A33A3"/>
    <w:rsid w:val="009A5647"/>
    <w:rsid w:val="009A5CA4"/>
    <w:rsid w:val="009B1547"/>
    <w:rsid w:val="009B4D5E"/>
    <w:rsid w:val="009B5117"/>
    <w:rsid w:val="009B7EB1"/>
    <w:rsid w:val="009C3960"/>
    <w:rsid w:val="009C5039"/>
    <w:rsid w:val="009C5E83"/>
    <w:rsid w:val="009C5FD4"/>
    <w:rsid w:val="009C72FC"/>
    <w:rsid w:val="009D081C"/>
    <w:rsid w:val="009D2626"/>
    <w:rsid w:val="009D60ED"/>
    <w:rsid w:val="009D757D"/>
    <w:rsid w:val="009E1205"/>
    <w:rsid w:val="009E254F"/>
    <w:rsid w:val="009E3770"/>
    <w:rsid w:val="009E769C"/>
    <w:rsid w:val="009E7FC8"/>
    <w:rsid w:val="009F0117"/>
    <w:rsid w:val="009F17BE"/>
    <w:rsid w:val="009F5A00"/>
    <w:rsid w:val="00A04171"/>
    <w:rsid w:val="00A142C2"/>
    <w:rsid w:val="00A14802"/>
    <w:rsid w:val="00A172FD"/>
    <w:rsid w:val="00A22D5D"/>
    <w:rsid w:val="00A24874"/>
    <w:rsid w:val="00A26C2E"/>
    <w:rsid w:val="00A3146A"/>
    <w:rsid w:val="00A317AD"/>
    <w:rsid w:val="00A321ED"/>
    <w:rsid w:val="00A331F1"/>
    <w:rsid w:val="00A35CCD"/>
    <w:rsid w:val="00A36D1E"/>
    <w:rsid w:val="00A37043"/>
    <w:rsid w:val="00A3773A"/>
    <w:rsid w:val="00A40121"/>
    <w:rsid w:val="00A4167A"/>
    <w:rsid w:val="00A47953"/>
    <w:rsid w:val="00A5121F"/>
    <w:rsid w:val="00A60353"/>
    <w:rsid w:val="00A62FFA"/>
    <w:rsid w:val="00A65ADA"/>
    <w:rsid w:val="00A66F27"/>
    <w:rsid w:val="00A71103"/>
    <w:rsid w:val="00A7142F"/>
    <w:rsid w:val="00A72727"/>
    <w:rsid w:val="00A7447A"/>
    <w:rsid w:val="00A76499"/>
    <w:rsid w:val="00A80879"/>
    <w:rsid w:val="00A82FA6"/>
    <w:rsid w:val="00A876A2"/>
    <w:rsid w:val="00A918E2"/>
    <w:rsid w:val="00A92649"/>
    <w:rsid w:val="00A929F8"/>
    <w:rsid w:val="00A94BAF"/>
    <w:rsid w:val="00A95D3A"/>
    <w:rsid w:val="00A95E8F"/>
    <w:rsid w:val="00A971D6"/>
    <w:rsid w:val="00A975E2"/>
    <w:rsid w:val="00AA0D49"/>
    <w:rsid w:val="00AA0E2A"/>
    <w:rsid w:val="00AA5086"/>
    <w:rsid w:val="00AA50EF"/>
    <w:rsid w:val="00AB1B21"/>
    <w:rsid w:val="00AB2C28"/>
    <w:rsid w:val="00AB30AD"/>
    <w:rsid w:val="00AB69EA"/>
    <w:rsid w:val="00AC36F7"/>
    <w:rsid w:val="00AC6B46"/>
    <w:rsid w:val="00AD26BA"/>
    <w:rsid w:val="00AD39CE"/>
    <w:rsid w:val="00AD3B1A"/>
    <w:rsid w:val="00AD7529"/>
    <w:rsid w:val="00AD7F3F"/>
    <w:rsid w:val="00AE1D45"/>
    <w:rsid w:val="00AE2291"/>
    <w:rsid w:val="00AE3E1C"/>
    <w:rsid w:val="00AE7802"/>
    <w:rsid w:val="00AE7C6D"/>
    <w:rsid w:val="00AF30BE"/>
    <w:rsid w:val="00AF3415"/>
    <w:rsid w:val="00AF352A"/>
    <w:rsid w:val="00AF3923"/>
    <w:rsid w:val="00AF3EBF"/>
    <w:rsid w:val="00AF52EA"/>
    <w:rsid w:val="00AF6374"/>
    <w:rsid w:val="00B031A6"/>
    <w:rsid w:val="00B10E2F"/>
    <w:rsid w:val="00B11EF6"/>
    <w:rsid w:val="00B15661"/>
    <w:rsid w:val="00B17571"/>
    <w:rsid w:val="00B25F3E"/>
    <w:rsid w:val="00B30585"/>
    <w:rsid w:val="00B31151"/>
    <w:rsid w:val="00B317C6"/>
    <w:rsid w:val="00B36FEC"/>
    <w:rsid w:val="00B377E6"/>
    <w:rsid w:val="00B40545"/>
    <w:rsid w:val="00B40CB3"/>
    <w:rsid w:val="00B41DCE"/>
    <w:rsid w:val="00B45107"/>
    <w:rsid w:val="00B4746D"/>
    <w:rsid w:val="00B5252B"/>
    <w:rsid w:val="00B53C88"/>
    <w:rsid w:val="00B5596C"/>
    <w:rsid w:val="00B610E7"/>
    <w:rsid w:val="00B611D0"/>
    <w:rsid w:val="00B62BE2"/>
    <w:rsid w:val="00B64750"/>
    <w:rsid w:val="00B66316"/>
    <w:rsid w:val="00B66486"/>
    <w:rsid w:val="00B664A1"/>
    <w:rsid w:val="00B67C93"/>
    <w:rsid w:val="00B67EE8"/>
    <w:rsid w:val="00B71CE4"/>
    <w:rsid w:val="00B72D9E"/>
    <w:rsid w:val="00B7318F"/>
    <w:rsid w:val="00B749F7"/>
    <w:rsid w:val="00B76B22"/>
    <w:rsid w:val="00B805C7"/>
    <w:rsid w:val="00B825A5"/>
    <w:rsid w:val="00B82D75"/>
    <w:rsid w:val="00B8465A"/>
    <w:rsid w:val="00B84753"/>
    <w:rsid w:val="00B84D99"/>
    <w:rsid w:val="00B85DC0"/>
    <w:rsid w:val="00B868BA"/>
    <w:rsid w:val="00B90D4D"/>
    <w:rsid w:val="00B91175"/>
    <w:rsid w:val="00B92305"/>
    <w:rsid w:val="00B93F78"/>
    <w:rsid w:val="00B95853"/>
    <w:rsid w:val="00B975F1"/>
    <w:rsid w:val="00BA0C47"/>
    <w:rsid w:val="00BA17F5"/>
    <w:rsid w:val="00BA2185"/>
    <w:rsid w:val="00BA24A3"/>
    <w:rsid w:val="00BA5325"/>
    <w:rsid w:val="00BA7C80"/>
    <w:rsid w:val="00BB38BB"/>
    <w:rsid w:val="00BB3E7C"/>
    <w:rsid w:val="00BB46F2"/>
    <w:rsid w:val="00BB4A28"/>
    <w:rsid w:val="00BB6211"/>
    <w:rsid w:val="00BC175A"/>
    <w:rsid w:val="00BC2D36"/>
    <w:rsid w:val="00BC3F33"/>
    <w:rsid w:val="00BC5B99"/>
    <w:rsid w:val="00BC6780"/>
    <w:rsid w:val="00BC69A9"/>
    <w:rsid w:val="00BC7360"/>
    <w:rsid w:val="00BD0067"/>
    <w:rsid w:val="00BD067E"/>
    <w:rsid w:val="00BD3033"/>
    <w:rsid w:val="00BD4C7B"/>
    <w:rsid w:val="00BE0CBB"/>
    <w:rsid w:val="00BE2388"/>
    <w:rsid w:val="00BE3399"/>
    <w:rsid w:val="00BE5A64"/>
    <w:rsid w:val="00BE6CA7"/>
    <w:rsid w:val="00BE73F6"/>
    <w:rsid w:val="00BE7788"/>
    <w:rsid w:val="00BE7F4B"/>
    <w:rsid w:val="00BF01F6"/>
    <w:rsid w:val="00BF0467"/>
    <w:rsid w:val="00BF497B"/>
    <w:rsid w:val="00BF680C"/>
    <w:rsid w:val="00C00E73"/>
    <w:rsid w:val="00C021D3"/>
    <w:rsid w:val="00C02D53"/>
    <w:rsid w:val="00C03F5C"/>
    <w:rsid w:val="00C05414"/>
    <w:rsid w:val="00C05C26"/>
    <w:rsid w:val="00C10A88"/>
    <w:rsid w:val="00C14C9F"/>
    <w:rsid w:val="00C162FD"/>
    <w:rsid w:val="00C21D7F"/>
    <w:rsid w:val="00C2438A"/>
    <w:rsid w:val="00C257ED"/>
    <w:rsid w:val="00C2749B"/>
    <w:rsid w:val="00C30A8F"/>
    <w:rsid w:val="00C312DC"/>
    <w:rsid w:val="00C322D6"/>
    <w:rsid w:val="00C33296"/>
    <w:rsid w:val="00C355A7"/>
    <w:rsid w:val="00C36A76"/>
    <w:rsid w:val="00C37526"/>
    <w:rsid w:val="00C40131"/>
    <w:rsid w:val="00C414C5"/>
    <w:rsid w:val="00C41744"/>
    <w:rsid w:val="00C42B08"/>
    <w:rsid w:val="00C46A25"/>
    <w:rsid w:val="00C46E24"/>
    <w:rsid w:val="00C53AD5"/>
    <w:rsid w:val="00C53D20"/>
    <w:rsid w:val="00C576DE"/>
    <w:rsid w:val="00C603DA"/>
    <w:rsid w:val="00C64A34"/>
    <w:rsid w:val="00C67647"/>
    <w:rsid w:val="00C70078"/>
    <w:rsid w:val="00C703BA"/>
    <w:rsid w:val="00C72BDB"/>
    <w:rsid w:val="00C732D7"/>
    <w:rsid w:val="00C740C3"/>
    <w:rsid w:val="00C7542F"/>
    <w:rsid w:val="00C75711"/>
    <w:rsid w:val="00C802A1"/>
    <w:rsid w:val="00C80337"/>
    <w:rsid w:val="00C80A44"/>
    <w:rsid w:val="00C82C9D"/>
    <w:rsid w:val="00C8679E"/>
    <w:rsid w:val="00C91329"/>
    <w:rsid w:val="00C916CD"/>
    <w:rsid w:val="00C91A88"/>
    <w:rsid w:val="00C94D7C"/>
    <w:rsid w:val="00C969F2"/>
    <w:rsid w:val="00CA03BD"/>
    <w:rsid w:val="00CB154C"/>
    <w:rsid w:val="00CB6330"/>
    <w:rsid w:val="00CB663D"/>
    <w:rsid w:val="00CB6A09"/>
    <w:rsid w:val="00CB6A63"/>
    <w:rsid w:val="00CB7512"/>
    <w:rsid w:val="00CB77A7"/>
    <w:rsid w:val="00CC1642"/>
    <w:rsid w:val="00CC2581"/>
    <w:rsid w:val="00CC3DD8"/>
    <w:rsid w:val="00CD05F6"/>
    <w:rsid w:val="00CD06FC"/>
    <w:rsid w:val="00CD100B"/>
    <w:rsid w:val="00CD1909"/>
    <w:rsid w:val="00CD44ED"/>
    <w:rsid w:val="00CF04CE"/>
    <w:rsid w:val="00CF22E0"/>
    <w:rsid w:val="00CF5D0A"/>
    <w:rsid w:val="00CF6FF0"/>
    <w:rsid w:val="00CF7784"/>
    <w:rsid w:val="00D006D8"/>
    <w:rsid w:val="00D023B7"/>
    <w:rsid w:val="00D0466A"/>
    <w:rsid w:val="00D04C57"/>
    <w:rsid w:val="00D067DF"/>
    <w:rsid w:val="00D07BD1"/>
    <w:rsid w:val="00D110D4"/>
    <w:rsid w:val="00D11171"/>
    <w:rsid w:val="00D132C8"/>
    <w:rsid w:val="00D136E2"/>
    <w:rsid w:val="00D20C6B"/>
    <w:rsid w:val="00D21A43"/>
    <w:rsid w:val="00D22AEB"/>
    <w:rsid w:val="00D22FB4"/>
    <w:rsid w:val="00D23904"/>
    <w:rsid w:val="00D26DFF"/>
    <w:rsid w:val="00D27B10"/>
    <w:rsid w:val="00D33871"/>
    <w:rsid w:val="00D33EA2"/>
    <w:rsid w:val="00D36EC3"/>
    <w:rsid w:val="00D37B7C"/>
    <w:rsid w:val="00D443C1"/>
    <w:rsid w:val="00D45048"/>
    <w:rsid w:val="00D45369"/>
    <w:rsid w:val="00D46987"/>
    <w:rsid w:val="00D46B44"/>
    <w:rsid w:val="00D50CF0"/>
    <w:rsid w:val="00D55B51"/>
    <w:rsid w:val="00D5742B"/>
    <w:rsid w:val="00D6178C"/>
    <w:rsid w:val="00D65706"/>
    <w:rsid w:val="00D66C15"/>
    <w:rsid w:val="00D708A9"/>
    <w:rsid w:val="00D70C4D"/>
    <w:rsid w:val="00D73120"/>
    <w:rsid w:val="00D7434E"/>
    <w:rsid w:val="00D74B12"/>
    <w:rsid w:val="00D76A4E"/>
    <w:rsid w:val="00D80818"/>
    <w:rsid w:val="00D808AE"/>
    <w:rsid w:val="00D82978"/>
    <w:rsid w:val="00D83493"/>
    <w:rsid w:val="00D871BF"/>
    <w:rsid w:val="00D95210"/>
    <w:rsid w:val="00DA0A06"/>
    <w:rsid w:val="00DA2BEF"/>
    <w:rsid w:val="00DA67E4"/>
    <w:rsid w:val="00DB79A3"/>
    <w:rsid w:val="00DC1FB6"/>
    <w:rsid w:val="00DC3EB6"/>
    <w:rsid w:val="00DC5891"/>
    <w:rsid w:val="00DC6008"/>
    <w:rsid w:val="00DC64D2"/>
    <w:rsid w:val="00DD004E"/>
    <w:rsid w:val="00DD3C12"/>
    <w:rsid w:val="00DD4D35"/>
    <w:rsid w:val="00DD5461"/>
    <w:rsid w:val="00DE0C21"/>
    <w:rsid w:val="00DE34A3"/>
    <w:rsid w:val="00DE4136"/>
    <w:rsid w:val="00DF3057"/>
    <w:rsid w:val="00DF5417"/>
    <w:rsid w:val="00DF654D"/>
    <w:rsid w:val="00DF7907"/>
    <w:rsid w:val="00E02D56"/>
    <w:rsid w:val="00E0314E"/>
    <w:rsid w:val="00E05310"/>
    <w:rsid w:val="00E15E39"/>
    <w:rsid w:val="00E16F19"/>
    <w:rsid w:val="00E31599"/>
    <w:rsid w:val="00E32C99"/>
    <w:rsid w:val="00E34F53"/>
    <w:rsid w:val="00E3680E"/>
    <w:rsid w:val="00E3750B"/>
    <w:rsid w:val="00E424DB"/>
    <w:rsid w:val="00E46A28"/>
    <w:rsid w:val="00E47373"/>
    <w:rsid w:val="00E51052"/>
    <w:rsid w:val="00E55643"/>
    <w:rsid w:val="00E5624E"/>
    <w:rsid w:val="00E572E0"/>
    <w:rsid w:val="00E609FA"/>
    <w:rsid w:val="00E61CC7"/>
    <w:rsid w:val="00E63510"/>
    <w:rsid w:val="00E63AD3"/>
    <w:rsid w:val="00E73A58"/>
    <w:rsid w:val="00E76103"/>
    <w:rsid w:val="00E80014"/>
    <w:rsid w:val="00E81F4A"/>
    <w:rsid w:val="00E82E1F"/>
    <w:rsid w:val="00E83853"/>
    <w:rsid w:val="00E84CD1"/>
    <w:rsid w:val="00E85E96"/>
    <w:rsid w:val="00E86B5B"/>
    <w:rsid w:val="00E9155F"/>
    <w:rsid w:val="00E948C4"/>
    <w:rsid w:val="00E95C54"/>
    <w:rsid w:val="00E97BB5"/>
    <w:rsid w:val="00EA40F8"/>
    <w:rsid w:val="00EA5ABC"/>
    <w:rsid w:val="00EA6068"/>
    <w:rsid w:val="00EA6773"/>
    <w:rsid w:val="00EB17EC"/>
    <w:rsid w:val="00EB181E"/>
    <w:rsid w:val="00EB3FC4"/>
    <w:rsid w:val="00EB4C86"/>
    <w:rsid w:val="00EC46D7"/>
    <w:rsid w:val="00EC64E3"/>
    <w:rsid w:val="00EC7001"/>
    <w:rsid w:val="00EC7343"/>
    <w:rsid w:val="00ED1210"/>
    <w:rsid w:val="00ED1891"/>
    <w:rsid w:val="00ED243A"/>
    <w:rsid w:val="00ED4ABA"/>
    <w:rsid w:val="00ED527E"/>
    <w:rsid w:val="00ED57A7"/>
    <w:rsid w:val="00ED5CA0"/>
    <w:rsid w:val="00ED74F1"/>
    <w:rsid w:val="00ED7DA7"/>
    <w:rsid w:val="00EE16F9"/>
    <w:rsid w:val="00EE33CE"/>
    <w:rsid w:val="00EE4E3D"/>
    <w:rsid w:val="00EF00CC"/>
    <w:rsid w:val="00EF25EF"/>
    <w:rsid w:val="00EF2EE8"/>
    <w:rsid w:val="00EF4318"/>
    <w:rsid w:val="00EF4372"/>
    <w:rsid w:val="00EF514E"/>
    <w:rsid w:val="00EF52F1"/>
    <w:rsid w:val="00EF662D"/>
    <w:rsid w:val="00EF72B6"/>
    <w:rsid w:val="00F00C15"/>
    <w:rsid w:val="00F07190"/>
    <w:rsid w:val="00F12346"/>
    <w:rsid w:val="00F13593"/>
    <w:rsid w:val="00F145C6"/>
    <w:rsid w:val="00F20309"/>
    <w:rsid w:val="00F24B3F"/>
    <w:rsid w:val="00F27B66"/>
    <w:rsid w:val="00F27FA7"/>
    <w:rsid w:val="00F323F6"/>
    <w:rsid w:val="00F367E1"/>
    <w:rsid w:val="00F36CE6"/>
    <w:rsid w:val="00F373DA"/>
    <w:rsid w:val="00F40173"/>
    <w:rsid w:val="00F419C6"/>
    <w:rsid w:val="00F439D8"/>
    <w:rsid w:val="00F43EDC"/>
    <w:rsid w:val="00F46B01"/>
    <w:rsid w:val="00F4799D"/>
    <w:rsid w:val="00F50D8D"/>
    <w:rsid w:val="00F51C10"/>
    <w:rsid w:val="00F51D69"/>
    <w:rsid w:val="00F5225C"/>
    <w:rsid w:val="00F52404"/>
    <w:rsid w:val="00F557CC"/>
    <w:rsid w:val="00F64220"/>
    <w:rsid w:val="00F66432"/>
    <w:rsid w:val="00F746BC"/>
    <w:rsid w:val="00F75E3B"/>
    <w:rsid w:val="00F76EF2"/>
    <w:rsid w:val="00F779DE"/>
    <w:rsid w:val="00F80338"/>
    <w:rsid w:val="00F82D83"/>
    <w:rsid w:val="00F84496"/>
    <w:rsid w:val="00F844FF"/>
    <w:rsid w:val="00F846FB"/>
    <w:rsid w:val="00F8490C"/>
    <w:rsid w:val="00F85761"/>
    <w:rsid w:val="00F93360"/>
    <w:rsid w:val="00FA23F1"/>
    <w:rsid w:val="00FA42D9"/>
    <w:rsid w:val="00FA4901"/>
    <w:rsid w:val="00FA607B"/>
    <w:rsid w:val="00FA7D3D"/>
    <w:rsid w:val="00FA7EBC"/>
    <w:rsid w:val="00FB193B"/>
    <w:rsid w:val="00FB320B"/>
    <w:rsid w:val="00FB4937"/>
    <w:rsid w:val="00FB589B"/>
    <w:rsid w:val="00FB6299"/>
    <w:rsid w:val="00FC1F36"/>
    <w:rsid w:val="00FC20D9"/>
    <w:rsid w:val="00FC33B8"/>
    <w:rsid w:val="00FC34B1"/>
    <w:rsid w:val="00FC5D4A"/>
    <w:rsid w:val="00FC7AC7"/>
    <w:rsid w:val="00FC7C8D"/>
    <w:rsid w:val="00FD3C19"/>
    <w:rsid w:val="00FD450B"/>
    <w:rsid w:val="00FD4BBB"/>
    <w:rsid w:val="00FD4EC9"/>
    <w:rsid w:val="00FD56A8"/>
    <w:rsid w:val="00FD56AC"/>
    <w:rsid w:val="00FD5DAD"/>
    <w:rsid w:val="00FD6300"/>
    <w:rsid w:val="00FD7301"/>
    <w:rsid w:val="00FE3B59"/>
    <w:rsid w:val="00FE4A1E"/>
    <w:rsid w:val="00FE53A1"/>
    <w:rsid w:val="00FE6134"/>
    <w:rsid w:val="00FE66FA"/>
    <w:rsid w:val="00FF1711"/>
    <w:rsid w:val="00FF303D"/>
    <w:rsid w:val="00FF36EE"/>
    <w:rsid w:val="00FF5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20CA"/>
  <w15:docId w15:val="{27525763-AB14-42A4-839B-E6A05E14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Helv" w:hAnsi="Helv"/>
      <w:sz w:val="24"/>
    </w:rPr>
  </w:style>
  <w:style w:type="paragraph" w:styleId="berschrift1">
    <w:name w:val="heading 1"/>
    <w:aliases w:val="Überschrift DE1"/>
    <w:basedOn w:val="Standard"/>
    <w:next w:val="Standard"/>
    <w:link w:val="berschrift1Zchn"/>
    <w:qFormat/>
    <w:rsid w:val="00B7318F"/>
    <w:pPr>
      <w:numPr>
        <w:numId w:val="2"/>
      </w:numPr>
      <w:spacing w:before="240"/>
      <w:outlineLvl w:val="0"/>
    </w:pPr>
    <w:rPr>
      <w:b/>
      <w:sz w:val="28"/>
    </w:rPr>
  </w:style>
  <w:style w:type="paragraph" w:styleId="berschrift2">
    <w:name w:val="heading 2"/>
    <w:aliases w:val="Überschrift DE2"/>
    <w:basedOn w:val="Standard"/>
    <w:next w:val="Standard"/>
    <w:link w:val="berschrift2Zchn"/>
    <w:qFormat/>
    <w:rsid w:val="00F46B01"/>
    <w:pPr>
      <w:numPr>
        <w:ilvl w:val="1"/>
        <w:numId w:val="2"/>
      </w:numPr>
      <w:spacing w:before="120"/>
      <w:outlineLvl w:val="1"/>
    </w:pPr>
    <w:rPr>
      <w:b/>
    </w:rPr>
  </w:style>
  <w:style w:type="paragraph" w:styleId="berschrift3">
    <w:name w:val="heading 3"/>
    <w:basedOn w:val="Standard"/>
    <w:pPr>
      <w:spacing w:before="60" w:after="86"/>
      <w:outlineLvl w:val="2"/>
    </w:pPr>
    <w:rPr>
      <w:b/>
    </w:rPr>
  </w:style>
  <w:style w:type="paragraph" w:styleId="berschrift4">
    <w:name w:val="heading 4"/>
    <w:basedOn w:val="Standard"/>
    <w:pPr>
      <w:spacing w:before="86"/>
      <w:outlineLvl w:val="3"/>
    </w:pPr>
    <w:rPr>
      <w:u w:val="single"/>
    </w:rPr>
  </w:style>
  <w:style w:type="paragraph" w:styleId="berschrift5">
    <w:name w:val="heading 5"/>
    <w:basedOn w:val="Standard"/>
    <w:pPr>
      <w:tabs>
        <w:tab w:val="left" w:pos="1980"/>
      </w:tabs>
      <w:spacing w:before="80" w:after="40"/>
      <w:outlineLvl w:val="4"/>
    </w:pPr>
  </w:style>
  <w:style w:type="paragraph" w:styleId="berschrift6">
    <w:name w:val="heading 6"/>
    <w:basedOn w:val="Standard"/>
    <w:next w:val="Standard"/>
    <w:pPr>
      <w:outlineLvl w:val="5"/>
    </w:pPr>
    <w:rPr>
      <w:rFonts w:ascii="Courier" w:hAnsi="Courier"/>
      <w:sz w:val="20"/>
      <w:u w:val="single"/>
    </w:rPr>
  </w:style>
  <w:style w:type="paragraph" w:styleId="berschrift7">
    <w:name w:val="heading 7"/>
    <w:basedOn w:val="Standard"/>
    <w:next w:val="Standard"/>
    <w:pPr>
      <w:outlineLvl w:val="6"/>
    </w:pPr>
    <w:rPr>
      <w:rFonts w:ascii="Courier" w:hAnsi="Courier"/>
      <w:i/>
      <w:sz w:val="20"/>
    </w:rPr>
  </w:style>
  <w:style w:type="paragraph" w:styleId="berschrift8">
    <w:name w:val="heading 8"/>
    <w:basedOn w:val="Standard"/>
    <w:next w:val="Standard"/>
    <w:pPr>
      <w:outlineLvl w:val="7"/>
    </w:pPr>
    <w:rPr>
      <w:rFonts w:ascii="Courier" w:hAnsi="Courier"/>
      <w:i/>
      <w:sz w:val="20"/>
    </w:rPr>
  </w:style>
  <w:style w:type="paragraph" w:styleId="berschrift9">
    <w:name w:val="heading 9"/>
    <w:basedOn w:val="Standard"/>
    <w:next w:val="Standard"/>
    <w:pPr>
      <w:outlineLvl w:val="8"/>
    </w:pPr>
    <w:rPr>
      <w:rFonts w:ascii="Courier" w:hAnsi="Courie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uiPriority w:val="39"/>
    <w:pPr>
      <w:tabs>
        <w:tab w:val="left" w:leader="dot" w:pos="8646"/>
        <w:tab w:val="right" w:pos="9072"/>
      </w:tabs>
      <w:ind w:left="709" w:right="850"/>
    </w:pPr>
  </w:style>
  <w:style w:type="paragraph" w:styleId="Verzeichnis1">
    <w:name w:val="toc 1"/>
    <w:basedOn w:val="Standard"/>
    <w:next w:val="Standard"/>
    <w:uiPriority w:val="39"/>
    <w:pPr>
      <w:tabs>
        <w:tab w:val="left" w:leader="dot" w:pos="8646"/>
        <w:tab w:val="right" w:pos="9072"/>
      </w:tabs>
      <w:ind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link w:val="FuzeileZchn"/>
    <w:uiPriority w:val="99"/>
    <w:pPr>
      <w:tabs>
        <w:tab w:val="center" w:pos="4252"/>
        <w:tab w:val="right" w:pos="8504"/>
      </w:tabs>
    </w:pPr>
  </w:style>
  <w:style w:type="paragraph" w:styleId="Kopfzeile">
    <w:name w:val="header"/>
    <w:basedOn w:val="Standard"/>
    <w:next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next w:val="Standard"/>
    <w:semiHidden/>
    <w:rPr>
      <w:sz w:val="20"/>
    </w:rPr>
  </w:style>
  <w:style w:type="paragraph" w:styleId="Standardeinzug">
    <w:name w:val="Normal Indent"/>
    <w:basedOn w:val="Standard"/>
    <w:next w:val="Standard"/>
    <w:pPr>
      <w:ind w:left="708"/>
    </w:pPr>
  </w:style>
  <w:style w:type="paragraph" w:customStyle="1" w:styleId="NormalerEinzug">
    <w:name w:val="Normaler Einzug"/>
    <w:basedOn w:val="Standard"/>
    <w:pPr>
      <w:tabs>
        <w:tab w:val="left" w:pos="454"/>
      </w:tabs>
      <w:ind w:left="454" w:hanging="284"/>
    </w:pPr>
  </w:style>
  <w:style w:type="paragraph" w:customStyle="1" w:styleId="Hauptgliederung">
    <w:name w:val="Hauptgliederung"/>
    <w:basedOn w:val="Standard"/>
    <w:next w:val="Standard"/>
    <w:pPr>
      <w:keepNext/>
      <w:pBdr>
        <w:bottom w:val="single" w:sz="6" w:space="1" w:color="auto"/>
        <w:between w:val="single" w:sz="6" w:space="1" w:color="auto"/>
      </w:pBdr>
      <w:spacing w:before="240" w:after="240"/>
      <w:ind w:right="1418"/>
    </w:pPr>
    <w:rPr>
      <w:b/>
      <w:sz w:val="28"/>
    </w:rPr>
  </w:style>
  <w:style w:type="paragraph" w:customStyle="1" w:styleId="NELetzt">
    <w:name w:val="NELetzt"/>
    <w:basedOn w:val="NormalerEinzug"/>
    <w:pPr>
      <w:spacing w:after="187"/>
    </w:pPr>
  </w:style>
  <w:style w:type="paragraph" w:customStyle="1" w:styleId="Absatz">
    <w:name w:val="Absatz"/>
    <w:basedOn w:val="Standard"/>
    <w:next w:val="Standard"/>
  </w:style>
  <w:style w:type="paragraph" w:customStyle="1" w:styleId="P6">
    <w:name w:val="P6"/>
    <w:pPr>
      <w:tabs>
        <w:tab w:val="left" w:pos="5760"/>
      </w:tabs>
      <w:spacing w:line="120" w:lineRule="exact"/>
    </w:pPr>
    <w:rPr>
      <w:sz w:val="8"/>
      <w:lang w:val="en-US"/>
    </w:rPr>
  </w:style>
  <w:style w:type="paragraph" w:customStyle="1" w:styleId="L6">
    <w:name w:val="L6"/>
    <w:pPr>
      <w:spacing w:after="86" w:line="240" w:lineRule="exact"/>
      <w:ind w:left="1728"/>
    </w:pPr>
    <w:rPr>
      <w:lang w:val="en-US"/>
    </w:rPr>
  </w:style>
  <w:style w:type="paragraph" w:customStyle="1" w:styleId="L2">
    <w:name w:val="L2"/>
    <w:pPr>
      <w:tabs>
        <w:tab w:val="left" w:pos="1728"/>
      </w:tabs>
      <w:spacing w:after="86" w:line="240" w:lineRule="exact"/>
      <w:ind w:left="1728" w:hanging="259"/>
    </w:pPr>
    <w:rPr>
      <w:lang w:val="en-US"/>
    </w:rPr>
  </w:style>
  <w:style w:type="paragraph" w:customStyle="1" w:styleId="LT">
    <w:name w:val="LT"/>
    <w:pPr>
      <w:tabs>
        <w:tab w:val="left" w:pos="1728"/>
      </w:tabs>
      <w:spacing w:after="86" w:line="240" w:lineRule="exact"/>
      <w:ind w:left="1728" w:hanging="374"/>
    </w:pPr>
    <w:rPr>
      <w:lang w:val="en-US"/>
    </w:rPr>
  </w:style>
  <w:style w:type="paragraph" w:customStyle="1" w:styleId="CH">
    <w:name w:val="CH"/>
    <w:pPr>
      <w:tabs>
        <w:tab w:val="left" w:pos="2304"/>
      </w:tabs>
      <w:spacing w:after="120" w:line="240" w:lineRule="exact"/>
      <w:ind w:left="1440"/>
    </w:pPr>
    <w:rPr>
      <w:b/>
      <w:i/>
    </w:rPr>
  </w:style>
  <w:style w:type="paragraph" w:customStyle="1" w:styleId="absazt1">
    <w:name w:val="absazt1"/>
    <w:basedOn w:val="Standard"/>
    <w:pPr>
      <w:ind w:left="709" w:hanging="709"/>
    </w:pPr>
  </w:style>
  <w:style w:type="paragraph" w:customStyle="1" w:styleId="absazt2">
    <w:name w:val="absazt2"/>
    <w:basedOn w:val="Standard"/>
  </w:style>
  <w:style w:type="paragraph" w:customStyle="1" w:styleId="absatz1">
    <w:name w:val="absatz1"/>
    <w:basedOn w:val="Standard"/>
    <w:pPr>
      <w:ind w:left="709" w:hanging="709"/>
    </w:pPr>
  </w:style>
  <w:style w:type="paragraph" w:customStyle="1" w:styleId="absatz2">
    <w:name w:val="absatz2"/>
    <w:basedOn w:val="absatz1"/>
    <w:pPr>
      <w:ind w:left="1418" w:hanging="1418"/>
    </w:pPr>
  </w:style>
  <w:style w:type="paragraph" w:customStyle="1" w:styleId="absatznorm">
    <w:name w:val="absatz_norm"/>
    <w:basedOn w:val="absatz1"/>
    <w:pPr>
      <w:ind w:left="0" w:firstLine="0"/>
    </w:pPr>
  </w:style>
  <w:style w:type="paragraph" w:customStyle="1" w:styleId="einzugstandart">
    <w:name w:val="einzugstandart"/>
    <w:rPr>
      <w:rFonts w:ascii="Helvetica" w:hAnsi="Helvetica"/>
      <w:sz w:val="24"/>
    </w:rPr>
  </w:style>
  <w:style w:type="paragraph" w:customStyle="1" w:styleId="einzug2">
    <w:name w:val="einzug2"/>
    <w:basedOn w:val="Absatz"/>
    <w:pPr>
      <w:ind w:left="1418" w:hanging="709"/>
    </w:pPr>
  </w:style>
  <w:style w:type="paragraph" w:customStyle="1" w:styleId="einzug1">
    <w:name w:val="einzug1"/>
    <w:basedOn w:val="einzugstandart"/>
    <w:pPr>
      <w:ind w:left="709" w:hanging="709"/>
    </w:pPr>
  </w:style>
  <w:style w:type="character" w:styleId="Seitenzahl">
    <w:name w:val="page number"/>
    <w:basedOn w:val="Absatz-Standardschriftart"/>
  </w:style>
  <w:style w:type="paragraph" w:styleId="Textkrper">
    <w:name w:val="Body Text"/>
    <w:basedOn w:val="Standard"/>
    <w:rPr>
      <w:rFonts w:ascii="Helvetica" w:hAnsi="Helvetica"/>
      <w:bCs/>
      <w:sz w:val="28"/>
      <w:lang w:val="en-GB"/>
    </w:rPr>
  </w:style>
  <w:style w:type="paragraph" w:customStyle="1" w:styleId="Kopfzeiler1">
    <w:name w:val="Kopfzeile_r1"/>
    <w:basedOn w:val="Standard"/>
    <w:next w:val="Kopfzeiler2"/>
    <w:pPr>
      <w:keepNext/>
      <w:overflowPunct w:val="0"/>
      <w:autoSpaceDE w:val="0"/>
      <w:autoSpaceDN w:val="0"/>
      <w:adjustRightInd w:val="0"/>
      <w:spacing w:before="160"/>
      <w:ind w:left="57"/>
      <w:textAlignment w:val="baseline"/>
    </w:pPr>
    <w:rPr>
      <w:rFonts w:ascii="Arial" w:hAnsi="Arial"/>
      <w:b/>
      <w:sz w:val="20"/>
    </w:rPr>
  </w:style>
  <w:style w:type="paragraph" w:customStyle="1" w:styleId="Kopfzeiler2">
    <w:name w:val="Kopfzeile_r2"/>
    <w:basedOn w:val="Standard"/>
    <w:pPr>
      <w:keepNext/>
      <w:overflowPunct w:val="0"/>
      <w:autoSpaceDE w:val="0"/>
      <w:autoSpaceDN w:val="0"/>
      <w:adjustRightInd w:val="0"/>
      <w:spacing w:before="260" w:after="60"/>
      <w:ind w:left="57"/>
      <w:textAlignment w:val="baseline"/>
    </w:pPr>
    <w:rPr>
      <w:rFonts w:ascii="Arial" w:hAnsi="Arial"/>
      <w:sz w:val="20"/>
    </w:rPr>
  </w:style>
  <w:style w:type="paragraph" w:customStyle="1" w:styleId="Kopfzeile2">
    <w:name w:val="Kopfzeile2"/>
    <w:basedOn w:val="Standard"/>
    <w:pPr>
      <w:keepNext/>
      <w:tabs>
        <w:tab w:val="center" w:pos="4536"/>
        <w:tab w:val="right" w:pos="9072"/>
      </w:tabs>
      <w:overflowPunct w:val="0"/>
      <w:autoSpaceDE w:val="0"/>
      <w:autoSpaceDN w:val="0"/>
      <w:adjustRightInd w:val="0"/>
      <w:spacing w:before="160" w:after="60"/>
      <w:ind w:left="57"/>
      <w:textAlignment w:val="baseline"/>
    </w:pPr>
    <w:rPr>
      <w:rFonts w:ascii="Arial" w:hAnsi="Arial"/>
      <w:b/>
      <w:sz w:val="30"/>
    </w:rPr>
  </w:style>
  <w:style w:type="paragraph" w:customStyle="1" w:styleId="Kopfzeile1">
    <w:name w:val="Kopfzeile1"/>
    <w:basedOn w:val="Standard"/>
    <w:next w:val="Kopfzeile2"/>
    <w:pPr>
      <w:keepNext/>
      <w:tabs>
        <w:tab w:val="center" w:pos="4536"/>
        <w:tab w:val="right" w:pos="9072"/>
      </w:tabs>
      <w:overflowPunct w:val="0"/>
      <w:autoSpaceDE w:val="0"/>
      <w:autoSpaceDN w:val="0"/>
      <w:adjustRightInd w:val="0"/>
      <w:spacing w:before="60"/>
      <w:ind w:left="57"/>
      <w:textAlignment w:val="baseline"/>
    </w:pPr>
    <w:rPr>
      <w:rFonts w:ascii="Arial" w:hAnsi="Arial"/>
      <w:sz w:val="30"/>
    </w:rPr>
  </w:style>
  <w:style w:type="table" w:styleId="Tabellenraster">
    <w:name w:val="Table Grid"/>
    <w:basedOn w:val="NormaleTabelle"/>
    <w:rsid w:val="00B8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71FAD"/>
    <w:rPr>
      <w:rFonts w:ascii="Tahoma" w:hAnsi="Tahoma" w:cs="Tahoma"/>
      <w:sz w:val="16"/>
      <w:szCs w:val="16"/>
    </w:rPr>
  </w:style>
  <w:style w:type="paragraph" w:customStyle="1" w:styleId="IN">
    <w:name w:val="IN"/>
    <w:basedOn w:val="Standard"/>
    <w:rsid w:val="00841DCB"/>
    <w:pPr>
      <w:keepNext/>
      <w:keepLines/>
      <w:overflowPunct w:val="0"/>
      <w:autoSpaceDE w:val="0"/>
      <w:autoSpaceDN w:val="0"/>
      <w:adjustRightInd w:val="0"/>
      <w:ind w:left="1304"/>
      <w:textAlignment w:val="baseline"/>
    </w:pPr>
    <w:rPr>
      <w:rFonts w:ascii="Arial" w:hAnsi="Arial"/>
      <w:sz w:val="20"/>
      <w:lang w:val="en-US" w:eastAsia="sv-SE"/>
    </w:rPr>
  </w:style>
  <w:style w:type="paragraph" w:styleId="Dokumentstruktur">
    <w:name w:val="Document Map"/>
    <w:basedOn w:val="Standard"/>
    <w:semiHidden/>
    <w:rsid w:val="001B0834"/>
    <w:pPr>
      <w:shd w:val="clear" w:color="auto" w:fill="000080"/>
    </w:pPr>
    <w:rPr>
      <w:rFonts w:ascii="Tahoma" w:hAnsi="Tahoma" w:cs="Tahoma"/>
      <w:sz w:val="20"/>
    </w:rPr>
  </w:style>
  <w:style w:type="character" w:customStyle="1" w:styleId="KopfzeileZchn">
    <w:name w:val="Kopfzeile Zchn"/>
    <w:link w:val="Kopfzeile"/>
    <w:uiPriority w:val="99"/>
    <w:rsid w:val="00765B52"/>
    <w:rPr>
      <w:rFonts w:ascii="Helv" w:hAnsi="Helv"/>
      <w:sz w:val="24"/>
    </w:rPr>
  </w:style>
  <w:style w:type="character" w:customStyle="1" w:styleId="FuzeileZchn">
    <w:name w:val="Fußzeile Zchn"/>
    <w:link w:val="Fuzeile"/>
    <w:uiPriority w:val="99"/>
    <w:rsid w:val="00765B52"/>
    <w:rPr>
      <w:rFonts w:ascii="Helv" w:hAnsi="Helv"/>
      <w:sz w:val="24"/>
    </w:rPr>
  </w:style>
  <w:style w:type="paragraph" w:customStyle="1" w:styleId="Default">
    <w:name w:val="Default"/>
    <w:rsid w:val="008F2B79"/>
    <w:pPr>
      <w:autoSpaceDE w:val="0"/>
      <w:autoSpaceDN w:val="0"/>
      <w:adjustRightInd w:val="0"/>
    </w:pPr>
    <w:rPr>
      <w:rFonts w:ascii="Arial" w:eastAsia="Calibri" w:hAnsi="Arial" w:cs="Arial"/>
      <w:color w:val="000000"/>
      <w:sz w:val="24"/>
      <w:szCs w:val="24"/>
      <w:lang w:eastAsia="en-US"/>
    </w:rPr>
  </w:style>
  <w:style w:type="paragraph" w:styleId="Listenabsatz">
    <w:name w:val="List Paragraph"/>
    <w:basedOn w:val="Standard"/>
    <w:uiPriority w:val="34"/>
    <w:rsid w:val="00873DB8"/>
    <w:pPr>
      <w:ind w:left="720"/>
      <w:contextualSpacing/>
    </w:pPr>
  </w:style>
  <w:style w:type="paragraph" w:customStyle="1" w:styleId="berschriftEN1">
    <w:name w:val="Überschrift EN1"/>
    <w:basedOn w:val="berschrift1"/>
    <w:link w:val="berschriftEN1Zchn"/>
    <w:qFormat/>
    <w:rsid w:val="00B7318F"/>
    <w:pPr>
      <w:numPr>
        <w:numId w:val="1"/>
      </w:numPr>
      <w:ind w:left="567" w:hanging="567"/>
    </w:pPr>
  </w:style>
  <w:style w:type="paragraph" w:styleId="Inhaltsverzeichnisberschrift">
    <w:name w:val="TOC Heading"/>
    <w:basedOn w:val="berschrift1"/>
    <w:next w:val="Standard"/>
    <w:uiPriority w:val="39"/>
    <w:unhideWhenUsed/>
    <w:qFormat/>
    <w:rsid w:val="00FE66FA"/>
    <w:pPr>
      <w:keepLines/>
      <w:numPr>
        <w:numId w:val="0"/>
      </w:numPr>
      <w:spacing w:before="480" w:line="276" w:lineRule="auto"/>
      <w:outlineLvl w:val="9"/>
    </w:pPr>
    <w:rPr>
      <w:rFonts w:asciiTheme="majorHAnsi" w:eastAsiaTheme="majorEastAsia" w:hAnsiTheme="majorHAnsi" w:cstheme="majorBidi"/>
      <w:bCs/>
      <w:color w:val="365F91" w:themeColor="accent1" w:themeShade="BF"/>
      <w:szCs w:val="28"/>
    </w:rPr>
  </w:style>
  <w:style w:type="character" w:customStyle="1" w:styleId="berschrift1Zchn">
    <w:name w:val="Überschrift 1 Zchn"/>
    <w:aliases w:val="Überschrift DE1 Zchn"/>
    <w:basedOn w:val="Absatz-Standardschriftart"/>
    <w:link w:val="berschrift1"/>
    <w:rsid w:val="00B7318F"/>
    <w:rPr>
      <w:rFonts w:ascii="Helv" w:hAnsi="Helv"/>
      <w:b/>
      <w:sz w:val="28"/>
    </w:rPr>
  </w:style>
  <w:style w:type="character" w:customStyle="1" w:styleId="berschriftEN1Zchn">
    <w:name w:val="Überschrift EN1 Zchn"/>
    <w:basedOn w:val="berschrift1Zchn"/>
    <w:link w:val="berschriftEN1"/>
    <w:rsid w:val="00B7318F"/>
    <w:rPr>
      <w:rFonts w:ascii="Helv" w:hAnsi="Helv"/>
      <w:b/>
      <w:sz w:val="28"/>
    </w:rPr>
  </w:style>
  <w:style w:type="character" w:styleId="Hyperlink">
    <w:name w:val="Hyperlink"/>
    <w:basedOn w:val="Absatz-Standardschriftart"/>
    <w:uiPriority w:val="99"/>
    <w:unhideWhenUsed/>
    <w:rsid w:val="00FE66FA"/>
    <w:rPr>
      <w:color w:val="0000FF" w:themeColor="hyperlink"/>
      <w:u w:val="single"/>
    </w:rPr>
  </w:style>
  <w:style w:type="paragraph" w:customStyle="1" w:styleId="berschriftEN2">
    <w:name w:val="Überschrift EN2"/>
    <w:basedOn w:val="berschrift2"/>
    <w:link w:val="berschriftEN2Zchn"/>
    <w:qFormat/>
    <w:rsid w:val="00983C6C"/>
    <w:pPr>
      <w:numPr>
        <w:numId w:val="1"/>
      </w:numPr>
      <w:ind w:left="431" w:hanging="431"/>
    </w:pPr>
  </w:style>
  <w:style w:type="character" w:styleId="Platzhaltertext">
    <w:name w:val="Placeholder Text"/>
    <w:basedOn w:val="Absatz-Standardschriftart"/>
    <w:uiPriority w:val="99"/>
    <w:semiHidden/>
    <w:rsid w:val="00ED5CA0"/>
    <w:rPr>
      <w:color w:val="808080"/>
    </w:rPr>
  </w:style>
  <w:style w:type="character" w:customStyle="1" w:styleId="berschrift2Zchn">
    <w:name w:val="Überschrift 2 Zchn"/>
    <w:aliases w:val="Überschrift DE2 Zchn"/>
    <w:basedOn w:val="Absatz-Standardschriftart"/>
    <w:link w:val="berschrift2"/>
    <w:rsid w:val="00F46B01"/>
    <w:rPr>
      <w:rFonts w:ascii="Helv" w:hAnsi="Helv"/>
      <w:b/>
      <w:sz w:val="24"/>
    </w:rPr>
  </w:style>
  <w:style w:type="character" w:customStyle="1" w:styleId="berschriftEN2Zchn">
    <w:name w:val="Überschrift EN2 Zchn"/>
    <w:basedOn w:val="berschrift2Zchn"/>
    <w:link w:val="berschriftEN2"/>
    <w:rsid w:val="00983C6C"/>
    <w:rPr>
      <w:rFonts w:ascii="Helv" w:hAnsi="Helv"/>
      <w:b/>
      <w:sz w:val="24"/>
    </w:rPr>
  </w:style>
  <w:style w:type="paragraph" w:customStyle="1" w:styleId="StandardDEEN">
    <w:name w:val="Standard DE/EN"/>
    <w:basedOn w:val="Standard"/>
    <w:link w:val="StandardDEENZchn"/>
    <w:qFormat/>
    <w:rsid w:val="00367B63"/>
    <w:pPr>
      <w:spacing w:before="240"/>
      <w:jc w:val="both"/>
    </w:pPr>
    <w:rPr>
      <w:rFonts w:ascii="Arial" w:hAnsi="Arial" w:cs="Arial"/>
      <w:sz w:val="20"/>
    </w:rPr>
  </w:style>
  <w:style w:type="character" w:customStyle="1" w:styleId="StandardDEENZchn">
    <w:name w:val="Standard DE/EN Zchn"/>
    <w:basedOn w:val="Absatz-Standardschriftart"/>
    <w:link w:val="StandardDEEN"/>
    <w:rsid w:val="00367B63"/>
    <w:rPr>
      <w:rFonts w:ascii="Arial" w:hAnsi="Arial" w:cs="Arial"/>
    </w:rPr>
  </w:style>
  <w:style w:type="paragraph" w:styleId="Textkrper2">
    <w:name w:val="Body Text 2"/>
    <w:basedOn w:val="Standard"/>
    <w:link w:val="Textkrper2Zchn"/>
    <w:rsid w:val="00AB1B21"/>
    <w:pPr>
      <w:spacing w:after="120" w:line="480" w:lineRule="auto"/>
    </w:pPr>
  </w:style>
  <w:style w:type="character" w:customStyle="1" w:styleId="Textkrper2Zchn">
    <w:name w:val="Textkörper 2 Zchn"/>
    <w:basedOn w:val="Absatz-Standardschriftart"/>
    <w:link w:val="Textkrper2"/>
    <w:rsid w:val="00AB1B21"/>
    <w:rPr>
      <w:rFonts w:ascii="Helv" w:hAnsi="Helv"/>
      <w:sz w:val="24"/>
    </w:rPr>
  </w:style>
  <w:style w:type="character" w:styleId="Kommentarzeichen">
    <w:name w:val="annotation reference"/>
    <w:rsid w:val="00B66316"/>
    <w:rPr>
      <w:sz w:val="16"/>
      <w:szCs w:val="16"/>
    </w:rPr>
  </w:style>
  <w:style w:type="paragraph" w:styleId="Kommentartext">
    <w:name w:val="annotation text"/>
    <w:basedOn w:val="Standard"/>
    <w:link w:val="KommentartextZchn"/>
    <w:rsid w:val="00B66316"/>
    <w:rPr>
      <w:rFonts w:ascii="Times New Roman" w:hAnsi="Times New Roman"/>
      <w:sz w:val="20"/>
    </w:rPr>
  </w:style>
  <w:style w:type="character" w:customStyle="1" w:styleId="KommentartextZchn">
    <w:name w:val="Kommentartext Zchn"/>
    <w:basedOn w:val="Absatz-Standardschriftart"/>
    <w:link w:val="Kommentartext"/>
    <w:rsid w:val="00B66316"/>
    <w:rPr>
      <w:rFonts w:ascii="Times New Roman" w:hAnsi="Times New Roman"/>
    </w:rPr>
  </w:style>
  <w:style w:type="paragraph" w:styleId="StandardWeb">
    <w:name w:val="Normal (Web)"/>
    <w:basedOn w:val="Standard"/>
    <w:uiPriority w:val="99"/>
    <w:semiHidden/>
    <w:unhideWhenUsed/>
    <w:rsid w:val="00825ABC"/>
    <w:pPr>
      <w:spacing w:before="100" w:beforeAutospacing="1" w:after="100" w:afterAutospacing="1"/>
    </w:pPr>
    <w:rPr>
      <w:rFonts w:ascii="Times New Roman" w:hAnsi="Times New Roman"/>
      <w:szCs w:val="24"/>
    </w:rPr>
  </w:style>
  <w:style w:type="character" w:styleId="BesuchterLink">
    <w:name w:val="FollowedHyperlink"/>
    <w:basedOn w:val="Absatz-Standardschriftart"/>
    <w:semiHidden/>
    <w:unhideWhenUsed/>
    <w:rsid w:val="00FB589B"/>
    <w:rPr>
      <w:color w:val="800080" w:themeColor="followedHyperlink"/>
      <w:u w:val="single"/>
    </w:rPr>
  </w:style>
  <w:style w:type="paragraph" w:styleId="Kommentarthema">
    <w:name w:val="annotation subject"/>
    <w:basedOn w:val="Kommentartext"/>
    <w:next w:val="Kommentartext"/>
    <w:link w:val="KommentarthemaZchn"/>
    <w:semiHidden/>
    <w:unhideWhenUsed/>
    <w:rsid w:val="001365C3"/>
    <w:rPr>
      <w:rFonts w:ascii="Helv" w:hAnsi="Helv"/>
      <w:b/>
      <w:bCs/>
    </w:rPr>
  </w:style>
  <w:style w:type="character" w:customStyle="1" w:styleId="KommentarthemaZchn">
    <w:name w:val="Kommentarthema Zchn"/>
    <w:basedOn w:val="KommentartextZchn"/>
    <w:link w:val="Kommentarthema"/>
    <w:semiHidden/>
    <w:rsid w:val="001365C3"/>
    <w:rPr>
      <w:rFonts w:ascii="Helv" w:hAnsi="Helv"/>
      <w:b/>
      <w:bCs/>
    </w:rPr>
  </w:style>
  <w:style w:type="character" w:styleId="NichtaufgelsteErwhnung">
    <w:name w:val="Unresolved Mention"/>
    <w:basedOn w:val="Absatz-Standardschriftart"/>
    <w:uiPriority w:val="99"/>
    <w:semiHidden/>
    <w:unhideWhenUsed/>
    <w:rsid w:val="00F27FA7"/>
    <w:rPr>
      <w:color w:val="605E5C"/>
      <w:shd w:val="clear" w:color="auto" w:fill="E1DFDD"/>
    </w:rPr>
  </w:style>
  <w:style w:type="paragraph" w:styleId="KeinLeerraum">
    <w:name w:val="No Spacing"/>
    <w:uiPriority w:val="1"/>
    <w:qFormat/>
    <w:rsid w:val="00FC5D4A"/>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075">
      <w:bodyDiv w:val="1"/>
      <w:marLeft w:val="0"/>
      <w:marRight w:val="0"/>
      <w:marTop w:val="0"/>
      <w:marBottom w:val="0"/>
      <w:divBdr>
        <w:top w:val="none" w:sz="0" w:space="0" w:color="auto"/>
        <w:left w:val="none" w:sz="0" w:space="0" w:color="auto"/>
        <w:bottom w:val="none" w:sz="0" w:space="0" w:color="auto"/>
        <w:right w:val="none" w:sz="0" w:space="0" w:color="auto"/>
      </w:divBdr>
    </w:div>
    <w:div w:id="63065449">
      <w:bodyDiv w:val="1"/>
      <w:marLeft w:val="0"/>
      <w:marRight w:val="0"/>
      <w:marTop w:val="0"/>
      <w:marBottom w:val="0"/>
      <w:divBdr>
        <w:top w:val="none" w:sz="0" w:space="0" w:color="auto"/>
        <w:left w:val="none" w:sz="0" w:space="0" w:color="auto"/>
        <w:bottom w:val="none" w:sz="0" w:space="0" w:color="auto"/>
        <w:right w:val="none" w:sz="0" w:space="0" w:color="auto"/>
      </w:divBdr>
    </w:div>
    <w:div w:id="106045849">
      <w:bodyDiv w:val="1"/>
      <w:marLeft w:val="0"/>
      <w:marRight w:val="0"/>
      <w:marTop w:val="0"/>
      <w:marBottom w:val="0"/>
      <w:divBdr>
        <w:top w:val="none" w:sz="0" w:space="0" w:color="auto"/>
        <w:left w:val="none" w:sz="0" w:space="0" w:color="auto"/>
        <w:bottom w:val="none" w:sz="0" w:space="0" w:color="auto"/>
        <w:right w:val="none" w:sz="0" w:space="0" w:color="auto"/>
      </w:divBdr>
    </w:div>
    <w:div w:id="112939528">
      <w:bodyDiv w:val="1"/>
      <w:marLeft w:val="0"/>
      <w:marRight w:val="0"/>
      <w:marTop w:val="0"/>
      <w:marBottom w:val="0"/>
      <w:divBdr>
        <w:top w:val="none" w:sz="0" w:space="0" w:color="auto"/>
        <w:left w:val="none" w:sz="0" w:space="0" w:color="auto"/>
        <w:bottom w:val="none" w:sz="0" w:space="0" w:color="auto"/>
        <w:right w:val="none" w:sz="0" w:space="0" w:color="auto"/>
      </w:divBdr>
    </w:div>
    <w:div w:id="153571960">
      <w:bodyDiv w:val="1"/>
      <w:marLeft w:val="0"/>
      <w:marRight w:val="0"/>
      <w:marTop w:val="0"/>
      <w:marBottom w:val="0"/>
      <w:divBdr>
        <w:top w:val="none" w:sz="0" w:space="0" w:color="auto"/>
        <w:left w:val="none" w:sz="0" w:space="0" w:color="auto"/>
        <w:bottom w:val="none" w:sz="0" w:space="0" w:color="auto"/>
        <w:right w:val="none" w:sz="0" w:space="0" w:color="auto"/>
      </w:divBdr>
    </w:div>
    <w:div w:id="195780750">
      <w:bodyDiv w:val="1"/>
      <w:marLeft w:val="0"/>
      <w:marRight w:val="0"/>
      <w:marTop w:val="0"/>
      <w:marBottom w:val="0"/>
      <w:divBdr>
        <w:top w:val="none" w:sz="0" w:space="0" w:color="auto"/>
        <w:left w:val="none" w:sz="0" w:space="0" w:color="auto"/>
        <w:bottom w:val="none" w:sz="0" w:space="0" w:color="auto"/>
        <w:right w:val="none" w:sz="0" w:space="0" w:color="auto"/>
      </w:divBdr>
    </w:div>
    <w:div w:id="225147899">
      <w:bodyDiv w:val="1"/>
      <w:marLeft w:val="0"/>
      <w:marRight w:val="0"/>
      <w:marTop w:val="0"/>
      <w:marBottom w:val="0"/>
      <w:divBdr>
        <w:top w:val="none" w:sz="0" w:space="0" w:color="auto"/>
        <w:left w:val="none" w:sz="0" w:space="0" w:color="auto"/>
        <w:bottom w:val="none" w:sz="0" w:space="0" w:color="auto"/>
        <w:right w:val="none" w:sz="0" w:space="0" w:color="auto"/>
      </w:divBdr>
    </w:div>
    <w:div w:id="339891971">
      <w:bodyDiv w:val="1"/>
      <w:marLeft w:val="0"/>
      <w:marRight w:val="0"/>
      <w:marTop w:val="0"/>
      <w:marBottom w:val="0"/>
      <w:divBdr>
        <w:top w:val="none" w:sz="0" w:space="0" w:color="auto"/>
        <w:left w:val="none" w:sz="0" w:space="0" w:color="auto"/>
        <w:bottom w:val="none" w:sz="0" w:space="0" w:color="auto"/>
        <w:right w:val="none" w:sz="0" w:space="0" w:color="auto"/>
      </w:divBdr>
    </w:div>
    <w:div w:id="354384636">
      <w:bodyDiv w:val="1"/>
      <w:marLeft w:val="0"/>
      <w:marRight w:val="0"/>
      <w:marTop w:val="0"/>
      <w:marBottom w:val="0"/>
      <w:divBdr>
        <w:top w:val="none" w:sz="0" w:space="0" w:color="auto"/>
        <w:left w:val="none" w:sz="0" w:space="0" w:color="auto"/>
        <w:bottom w:val="none" w:sz="0" w:space="0" w:color="auto"/>
        <w:right w:val="none" w:sz="0" w:space="0" w:color="auto"/>
      </w:divBdr>
    </w:div>
    <w:div w:id="358745952">
      <w:bodyDiv w:val="1"/>
      <w:marLeft w:val="0"/>
      <w:marRight w:val="0"/>
      <w:marTop w:val="0"/>
      <w:marBottom w:val="0"/>
      <w:divBdr>
        <w:top w:val="none" w:sz="0" w:space="0" w:color="auto"/>
        <w:left w:val="none" w:sz="0" w:space="0" w:color="auto"/>
        <w:bottom w:val="none" w:sz="0" w:space="0" w:color="auto"/>
        <w:right w:val="none" w:sz="0" w:space="0" w:color="auto"/>
      </w:divBdr>
    </w:div>
    <w:div w:id="471674477">
      <w:bodyDiv w:val="1"/>
      <w:marLeft w:val="0"/>
      <w:marRight w:val="0"/>
      <w:marTop w:val="0"/>
      <w:marBottom w:val="0"/>
      <w:divBdr>
        <w:top w:val="none" w:sz="0" w:space="0" w:color="auto"/>
        <w:left w:val="none" w:sz="0" w:space="0" w:color="auto"/>
        <w:bottom w:val="none" w:sz="0" w:space="0" w:color="auto"/>
        <w:right w:val="none" w:sz="0" w:space="0" w:color="auto"/>
      </w:divBdr>
    </w:div>
    <w:div w:id="480268278">
      <w:bodyDiv w:val="1"/>
      <w:marLeft w:val="0"/>
      <w:marRight w:val="0"/>
      <w:marTop w:val="0"/>
      <w:marBottom w:val="0"/>
      <w:divBdr>
        <w:top w:val="none" w:sz="0" w:space="0" w:color="auto"/>
        <w:left w:val="none" w:sz="0" w:space="0" w:color="auto"/>
        <w:bottom w:val="none" w:sz="0" w:space="0" w:color="auto"/>
        <w:right w:val="none" w:sz="0" w:space="0" w:color="auto"/>
      </w:divBdr>
    </w:div>
    <w:div w:id="509874161">
      <w:bodyDiv w:val="1"/>
      <w:marLeft w:val="0"/>
      <w:marRight w:val="0"/>
      <w:marTop w:val="0"/>
      <w:marBottom w:val="0"/>
      <w:divBdr>
        <w:top w:val="none" w:sz="0" w:space="0" w:color="auto"/>
        <w:left w:val="none" w:sz="0" w:space="0" w:color="auto"/>
        <w:bottom w:val="none" w:sz="0" w:space="0" w:color="auto"/>
        <w:right w:val="none" w:sz="0" w:space="0" w:color="auto"/>
      </w:divBdr>
    </w:div>
    <w:div w:id="607733258">
      <w:bodyDiv w:val="1"/>
      <w:marLeft w:val="0"/>
      <w:marRight w:val="0"/>
      <w:marTop w:val="0"/>
      <w:marBottom w:val="0"/>
      <w:divBdr>
        <w:top w:val="none" w:sz="0" w:space="0" w:color="auto"/>
        <w:left w:val="none" w:sz="0" w:space="0" w:color="auto"/>
        <w:bottom w:val="none" w:sz="0" w:space="0" w:color="auto"/>
        <w:right w:val="none" w:sz="0" w:space="0" w:color="auto"/>
      </w:divBdr>
    </w:div>
    <w:div w:id="619146367">
      <w:bodyDiv w:val="1"/>
      <w:marLeft w:val="0"/>
      <w:marRight w:val="0"/>
      <w:marTop w:val="0"/>
      <w:marBottom w:val="0"/>
      <w:divBdr>
        <w:top w:val="none" w:sz="0" w:space="0" w:color="auto"/>
        <w:left w:val="none" w:sz="0" w:space="0" w:color="auto"/>
        <w:bottom w:val="none" w:sz="0" w:space="0" w:color="auto"/>
        <w:right w:val="none" w:sz="0" w:space="0" w:color="auto"/>
      </w:divBdr>
    </w:div>
    <w:div w:id="639115553">
      <w:bodyDiv w:val="1"/>
      <w:marLeft w:val="0"/>
      <w:marRight w:val="0"/>
      <w:marTop w:val="0"/>
      <w:marBottom w:val="0"/>
      <w:divBdr>
        <w:top w:val="none" w:sz="0" w:space="0" w:color="auto"/>
        <w:left w:val="none" w:sz="0" w:space="0" w:color="auto"/>
        <w:bottom w:val="none" w:sz="0" w:space="0" w:color="auto"/>
        <w:right w:val="none" w:sz="0" w:space="0" w:color="auto"/>
      </w:divBdr>
    </w:div>
    <w:div w:id="686563472">
      <w:bodyDiv w:val="1"/>
      <w:marLeft w:val="0"/>
      <w:marRight w:val="0"/>
      <w:marTop w:val="0"/>
      <w:marBottom w:val="0"/>
      <w:divBdr>
        <w:top w:val="none" w:sz="0" w:space="0" w:color="auto"/>
        <w:left w:val="none" w:sz="0" w:space="0" w:color="auto"/>
        <w:bottom w:val="none" w:sz="0" w:space="0" w:color="auto"/>
        <w:right w:val="none" w:sz="0" w:space="0" w:color="auto"/>
      </w:divBdr>
    </w:div>
    <w:div w:id="743842708">
      <w:bodyDiv w:val="1"/>
      <w:marLeft w:val="0"/>
      <w:marRight w:val="0"/>
      <w:marTop w:val="0"/>
      <w:marBottom w:val="0"/>
      <w:divBdr>
        <w:top w:val="none" w:sz="0" w:space="0" w:color="auto"/>
        <w:left w:val="none" w:sz="0" w:space="0" w:color="auto"/>
        <w:bottom w:val="none" w:sz="0" w:space="0" w:color="auto"/>
        <w:right w:val="none" w:sz="0" w:space="0" w:color="auto"/>
      </w:divBdr>
    </w:div>
    <w:div w:id="796223438">
      <w:bodyDiv w:val="1"/>
      <w:marLeft w:val="0"/>
      <w:marRight w:val="0"/>
      <w:marTop w:val="0"/>
      <w:marBottom w:val="0"/>
      <w:divBdr>
        <w:top w:val="none" w:sz="0" w:space="0" w:color="auto"/>
        <w:left w:val="none" w:sz="0" w:space="0" w:color="auto"/>
        <w:bottom w:val="none" w:sz="0" w:space="0" w:color="auto"/>
        <w:right w:val="none" w:sz="0" w:space="0" w:color="auto"/>
      </w:divBdr>
    </w:div>
    <w:div w:id="804660884">
      <w:bodyDiv w:val="1"/>
      <w:marLeft w:val="0"/>
      <w:marRight w:val="0"/>
      <w:marTop w:val="0"/>
      <w:marBottom w:val="0"/>
      <w:divBdr>
        <w:top w:val="none" w:sz="0" w:space="0" w:color="auto"/>
        <w:left w:val="none" w:sz="0" w:space="0" w:color="auto"/>
        <w:bottom w:val="none" w:sz="0" w:space="0" w:color="auto"/>
        <w:right w:val="none" w:sz="0" w:space="0" w:color="auto"/>
      </w:divBdr>
    </w:div>
    <w:div w:id="807165672">
      <w:bodyDiv w:val="1"/>
      <w:marLeft w:val="0"/>
      <w:marRight w:val="0"/>
      <w:marTop w:val="0"/>
      <w:marBottom w:val="0"/>
      <w:divBdr>
        <w:top w:val="none" w:sz="0" w:space="0" w:color="auto"/>
        <w:left w:val="none" w:sz="0" w:space="0" w:color="auto"/>
        <w:bottom w:val="none" w:sz="0" w:space="0" w:color="auto"/>
        <w:right w:val="none" w:sz="0" w:space="0" w:color="auto"/>
      </w:divBdr>
    </w:div>
    <w:div w:id="831339454">
      <w:bodyDiv w:val="1"/>
      <w:marLeft w:val="0"/>
      <w:marRight w:val="0"/>
      <w:marTop w:val="0"/>
      <w:marBottom w:val="0"/>
      <w:divBdr>
        <w:top w:val="none" w:sz="0" w:space="0" w:color="auto"/>
        <w:left w:val="none" w:sz="0" w:space="0" w:color="auto"/>
        <w:bottom w:val="none" w:sz="0" w:space="0" w:color="auto"/>
        <w:right w:val="none" w:sz="0" w:space="0" w:color="auto"/>
      </w:divBdr>
    </w:div>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885487138">
      <w:bodyDiv w:val="1"/>
      <w:marLeft w:val="0"/>
      <w:marRight w:val="0"/>
      <w:marTop w:val="0"/>
      <w:marBottom w:val="0"/>
      <w:divBdr>
        <w:top w:val="none" w:sz="0" w:space="0" w:color="auto"/>
        <w:left w:val="none" w:sz="0" w:space="0" w:color="auto"/>
        <w:bottom w:val="none" w:sz="0" w:space="0" w:color="auto"/>
        <w:right w:val="none" w:sz="0" w:space="0" w:color="auto"/>
      </w:divBdr>
    </w:div>
    <w:div w:id="913709339">
      <w:bodyDiv w:val="1"/>
      <w:marLeft w:val="0"/>
      <w:marRight w:val="0"/>
      <w:marTop w:val="0"/>
      <w:marBottom w:val="0"/>
      <w:divBdr>
        <w:top w:val="none" w:sz="0" w:space="0" w:color="auto"/>
        <w:left w:val="none" w:sz="0" w:space="0" w:color="auto"/>
        <w:bottom w:val="none" w:sz="0" w:space="0" w:color="auto"/>
        <w:right w:val="none" w:sz="0" w:space="0" w:color="auto"/>
      </w:divBdr>
    </w:div>
    <w:div w:id="988827398">
      <w:bodyDiv w:val="1"/>
      <w:marLeft w:val="0"/>
      <w:marRight w:val="0"/>
      <w:marTop w:val="0"/>
      <w:marBottom w:val="0"/>
      <w:divBdr>
        <w:top w:val="none" w:sz="0" w:space="0" w:color="auto"/>
        <w:left w:val="none" w:sz="0" w:space="0" w:color="auto"/>
        <w:bottom w:val="none" w:sz="0" w:space="0" w:color="auto"/>
        <w:right w:val="none" w:sz="0" w:space="0" w:color="auto"/>
      </w:divBdr>
    </w:div>
    <w:div w:id="1056124110">
      <w:bodyDiv w:val="1"/>
      <w:marLeft w:val="0"/>
      <w:marRight w:val="0"/>
      <w:marTop w:val="0"/>
      <w:marBottom w:val="0"/>
      <w:divBdr>
        <w:top w:val="none" w:sz="0" w:space="0" w:color="auto"/>
        <w:left w:val="none" w:sz="0" w:space="0" w:color="auto"/>
        <w:bottom w:val="none" w:sz="0" w:space="0" w:color="auto"/>
        <w:right w:val="none" w:sz="0" w:space="0" w:color="auto"/>
      </w:divBdr>
    </w:div>
    <w:div w:id="1101534121">
      <w:bodyDiv w:val="1"/>
      <w:marLeft w:val="0"/>
      <w:marRight w:val="0"/>
      <w:marTop w:val="0"/>
      <w:marBottom w:val="0"/>
      <w:divBdr>
        <w:top w:val="none" w:sz="0" w:space="0" w:color="auto"/>
        <w:left w:val="none" w:sz="0" w:space="0" w:color="auto"/>
        <w:bottom w:val="none" w:sz="0" w:space="0" w:color="auto"/>
        <w:right w:val="none" w:sz="0" w:space="0" w:color="auto"/>
      </w:divBdr>
    </w:div>
    <w:div w:id="1116025205">
      <w:bodyDiv w:val="1"/>
      <w:marLeft w:val="0"/>
      <w:marRight w:val="0"/>
      <w:marTop w:val="0"/>
      <w:marBottom w:val="0"/>
      <w:divBdr>
        <w:top w:val="none" w:sz="0" w:space="0" w:color="auto"/>
        <w:left w:val="none" w:sz="0" w:space="0" w:color="auto"/>
        <w:bottom w:val="none" w:sz="0" w:space="0" w:color="auto"/>
        <w:right w:val="none" w:sz="0" w:space="0" w:color="auto"/>
      </w:divBdr>
    </w:div>
    <w:div w:id="1158767701">
      <w:bodyDiv w:val="1"/>
      <w:marLeft w:val="0"/>
      <w:marRight w:val="0"/>
      <w:marTop w:val="0"/>
      <w:marBottom w:val="0"/>
      <w:divBdr>
        <w:top w:val="none" w:sz="0" w:space="0" w:color="auto"/>
        <w:left w:val="none" w:sz="0" w:space="0" w:color="auto"/>
        <w:bottom w:val="none" w:sz="0" w:space="0" w:color="auto"/>
        <w:right w:val="none" w:sz="0" w:space="0" w:color="auto"/>
      </w:divBdr>
    </w:div>
    <w:div w:id="1161890364">
      <w:bodyDiv w:val="1"/>
      <w:marLeft w:val="0"/>
      <w:marRight w:val="0"/>
      <w:marTop w:val="0"/>
      <w:marBottom w:val="0"/>
      <w:divBdr>
        <w:top w:val="none" w:sz="0" w:space="0" w:color="auto"/>
        <w:left w:val="none" w:sz="0" w:space="0" w:color="auto"/>
        <w:bottom w:val="none" w:sz="0" w:space="0" w:color="auto"/>
        <w:right w:val="none" w:sz="0" w:space="0" w:color="auto"/>
      </w:divBdr>
    </w:div>
    <w:div w:id="1173716738">
      <w:bodyDiv w:val="1"/>
      <w:marLeft w:val="0"/>
      <w:marRight w:val="0"/>
      <w:marTop w:val="0"/>
      <w:marBottom w:val="0"/>
      <w:divBdr>
        <w:top w:val="none" w:sz="0" w:space="0" w:color="auto"/>
        <w:left w:val="none" w:sz="0" w:space="0" w:color="auto"/>
        <w:bottom w:val="none" w:sz="0" w:space="0" w:color="auto"/>
        <w:right w:val="none" w:sz="0" w:space="0" w:color="auto"/>
      </w:divBdr>
    </w:div>
    <w:div w:id="1214464863">
      <w:bodyDiv w:val="1"/>
      <w:marLeft w:val="0"/>
      <w:marRight w:val="0"/>
      <w:marTop w:val="0"/>
      <w:marBottom w:val="0"/>
      <w:divBdr>
        <w:top w:val="none" w:sz="0" w:space="0" w:color="auto"/>
        <w:left w:val="none" w:sz="0" w:space="0" w:color="auto"/>
        <w:bottom w:val="none" w:sz="0" w:space="0" w:color="auto"/>
        <w:right w:val="none" w:sz="0" w:space="0" w:color="auto"/>
      </w:divBdr>
    </w:div>
    <w:div w:id="1251816157">
      <w:bodyDiv w:val="1"/>
      <w:marLeft w:val="0"/>
      <w:marRight w:val="0"/>
      <w:marTop w:val="0"/>
      <w:marBottom w:val="0"/>
      <w:divBdr>
        <w:top w:val="none" w:sz="0" w:space="0" w:color="auto"/>
        <w:left w:val="none" w:sz="0" w:space="0" w:color="auto"/>
        <w:bottom w:val="none" w:sz="0" w:space="0" w:color="auto"/>
        <w:right w:val="none" w:sz="0" w:space="0" w:color="auto"/>
      </w:divBdr>
    </w:div>
    <w:div w:id="1369527985">
      <w:bodyDiv w:val="1"/>
      <w:marLeft w:val="0"/>
      <w:marRight w:val="0"/>
      <w:marTop w:val="0"/>
      <w:marBottom w:val="0"/>
      <w:divBdr>
        <w:top w:val="none" w:sz="0" w:space="0" w:color="auto"/>
        <w:left w:val="none" w:sz="0" w:space="0" w:color="auto"/>
        <w:bottom w:val="none" w:sz="0" w:space="0" w:color="auto"/>
        <w:right w:val="none" w:sz="0" w:space="0" w:color="auto"/>
      </w:divBdr>
    </w:div>
    <w:div w:id="1371879645">
      <w:bodyDiv w:val="1"/>
      <w:marLeft w:val="0"/>
      <w:marRight w:val="0"/>
      <w:marTop w:val="0"/>
      <w:marBottom w:val="0"/>
      <w:divBdr>
        <w:top w:val="none" w:sz="0" w:space="0" w:color="auto"/>
        <w:left w:val="none" w:sz="0" w:space="0" w:color="auto"/>
        <w:bottom w:val="none" w:sz="0" w:space="0" w:color="auto"/>
        <w:right w:val="none" w:sz="0" w:space="0" w:color="auto"/>
      </w:divBdr>
    </w:div>
    <w:div w:id="1436174842">
      <w:bodyDiv w:val="1"/>
      <w:marLeft w:val="0"/>
      <w:marRight w:val="0"/>
      <w:marTop w:val="0"/>
      <w:marBottom w:val="0"/>
      <w:divBdr>
        <w:top w:val="none" w:sz="0" w:space="0" w:color="auto"/>
        <w:left w:val="none" w:sz="0" w:space="0" w:color="auto"/>
        <w:bottom w:val="none" w:sz="0" w:space="0" w:color="auto"/>
        <w:right w:val="none" w:sz="0" w:space="0" w:color="auto"/>
      </w:divBdr>
    </w:div>
    <w:div w:id="1447116724">
      <w:bodyDiv w:val="1"/>
      <w:marLeft w:val="0"/>
      <w:marRight w:val="0"/>
      <w:marTop w:val="0"/>
      <w:marBottom w:val="0"/>
      <w:divBdr>
        <w:top w:val="none" w:sz="0" w:space="0" w:color="auto"/>
        <w:left w:val="none" w:sz="0" w:space="0" w:color="auto"/>
        <w:bottom w:val="none" w:sz="0" w:space="0" w:color="auto"/>
        <w:right w:val="none" w:sz="0" w:space="0" w:color="auto"/>
      </w:divBdr>
    </w:div>
    <w:div w:id="1472673975">
      <w:bodyDiv w:val="1"/>
      <w:marLeft w:val="0"/>
      <w:marRight w:val="0"/>
      <w:marTop w:val="0"/>
      <w:marBottom w:val="0"/>
      <w:divBdr>
        <w:top w:val="none" w:sz="0" w:space="0" w:color="auto"/>
        <w:left w:val="none" w:sz="0" w:space="0" w:color="auto"/>
        <w:bottom w:val="none" w:sz="0" w:space="0" w:color="auto"/>
        <w:right w:val="none" w:sz="0" w:space="0" w:color="auto"/>
      </w:divBdr>
    </w:div>
    <w:div w:id="1517647613">
      <w:bodyDiv w:val="1"/>
      <w:marLeft w:val="0"/>
      <w:marRight w:val="0"/>
      <w:marTop w:val="0"/>
      <w:marBottom w:val="0"/>
      <w:divBdr>
        <w:top w:val="none" w:sz="0" w:space="0" w:color="auto"/>
        <w:left w:val="none" w:sz="0" w:space="0" w:color="auto"/>
        <w:bottom w:val="none" w:sz="0" w:space="0" w:color="auto"/>
        <w:right w:val="none" w:sz="0" w:space="0" w:color="auto"/>
      </w:divBdr>
    </w:div>
    <w:div w:id="1542549577">
      <w:bodyDiv w:val="1"/>
      <w:marLeft w:val="0"/>
      <w:marRight w:val="0"/>
      <w:marTop w:val="0"/>
      <w:marBottom w:val="0"/>
      <w:divBdr>
        <w:top w:val="none" w:sz="0" w:space="0" w:color="auto"/>
        <w:left w:val="none" w:sz="0" w:space="0" w:color="auto"/>
        <w:bottom w:val="none" w:sz="0" w:space="0" w:color="auto"/>
        <w:right w:val="none" w:sz="0" w:space="0" w:color="auto"/>
      </w:divBdr>
    </w:div>
    <w:div w:id="1547983318">
      <w:bodyDiv w:val="1"/>
      <w:marLeft w:val="0"/>
      <w:marRight w:val="0"/>
      <w:marTop w:val="0"/>
      <w:marBottom w:val="0"/>
      <w:divBdr>
        <w:top w:val="none" w:sz="0" w:space="0" w:color="auto"/>
        <w:left w:val="none" w:sz="0" w:space="0" w:color="auto"/>
        <w:bottom w:val="none" w:sz="0" w:space="0" w:color="auto"/>
        <w:right w:val="none" w:sz="0" w:space="0" w:color="auto"/>
      </w:divBdr>
    </w:div>
    <w:div w:id="1597591079">
      <w:bodyDiv w:val="1"/>
      <w:marLeft w:val="0"/>
      <w:marRight w:val="0"/>
      <w:marTop w:val="0"/>
      <w:marBottom w:val="0"/>
      <w:divBdr>
        <w:top w:val="none" w:sz="0" w:space="0" w:color="auto"/>
        <w:left w:val="none" w:sz="0" w:space="0" w:color="auto"/>
        <w:bottom w:val="none" w:sz="0" w:space="0" w:color="auto"/>
        <w:right w:val="none" w:sz="0" w:space="0" w:color="auto"/>
      </w:divBdr>
    </w:div>
    <w:div w:id="1604655672">
      <w:bodyDiv w:val="1"/>
      <w:marLeft w:val="0"/>
      <w:marRight w:val="0"/>
      <w:marTop w:val="0"/>
      <w:marBottom w:val="0"/>
      <w:divBdr>
        <w:top w:val="none" w:sz="0" w:space="0" w:color="auto"/>
        <w:left w:val="none" w:sz="0" w:space="0" w:color="auto"/>
        <w:bottom w:val="none" w:sz="0" w:space="0" w:color="auto"/>
        <w:right w:val="none" w:sz="0" w:space="0" w:color="auto"/>
      </w:divBdr>
    </w:div>
    <w:div w:id="1606959235">
      <w:bodyDiv w:val="1"/>
      <w:marLeft w:val="0"/>
      <w:marRight w:val="0"/>
      <w:marTop w:val="0"/>
      <w:marBottom w:val="0"/>
      <w:divBdr>
        <w:top w:val="none" w:sz="0" w:space="0" w:color="auto"/>
        <w:left w:val="none" w:sz="0" w:space="0" w:color="auto"/>
        <w:bottom w:val="none" w:sz="0" w:space="0" w:color="auto"/>
        <w:right w:val="none" w:sz="0" w:space="0" w:color="auto"/>
      </w:divBdr>
    </w:div>
    <w:div w:id="1622684041">
      <w:bodyDiv w:val="1"/>
      <w:marLeft w:val="0"/>
      <w:marRight w:val="0"/>
      <w:marTop w:val="0"/>
      <w:marBottom w:val="0"/>
      <w:divBdr>
        <w:top w:val="none" w:sz="0" w:space="0" w:color="auto"/>
        <w:left w:val="none" w:sz="0" w:space="0" w:color="auto"/>
        <w:bottom w:val="none" w:sz="0" w:space="0" w:color="auto"/>
        <w:right w:val="none" w:sz="0" w:space="0" w:color="auto"/>
      </w:divBdr>
    </w:div>
    <w:div w:id="1657301087">
      <w:bodyDiv w:val="1"/>
      <w:marLeft w:val="0"/>
      <w:marRight w:val="0"/>
      <w:marTop w:val="0"/>
      <w:marBottom w:val="0"/>
      <w:divBdr>
        <w:top w:val="none" w:sz="0" w:space="0" w:color="auto"/>
        <w:left w:val="none" w:sz="0" w:space="0" w:color="auto"/>
        <w:bottom w:val="none" w:sz="0" w:space="0" w:color="auto"/>
        <w:right w:val="none" w:sz="0" w:space="0" w:color="auto"/>
      </w:divBdr>
    </w:div>
    <w:div w:id="1690718634">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79450841">
      <w:bodyDiv w:val="1"/>
      <w:marLeft w:val="0"/>
      <w:marRight w:val="0"/>
      <w:marTop w:val="0"/>
      <w:marBottom w:val="0"/>
      <w:divBdr>
        <w:top w:val="none" w:sz="0" w:space="0" w:color="auto"/>
        <w:left w:val="none" w:sz="0" w:space="0" w:color="auto"/>
        <w:bottom w:val="none" w:sz="0" w:space="0" w:color="auto"/>
        <w:right w:val="none" w:sz="0" w:space="0" w:color="auto"/>
      </w:divBdr>
    </w:div>
    <w:div w:id="1857965146">
      <w:bodyDiv w:val="1"/>
      <w:marLeft w:val="0"/>
      <w:marRight w:val="0"/>
      <w:marTop w:val="0"/>
      <w:marBottom w:val="0"/>
      <w:divBdr>
        <w:top w:val="none" w:sz="0" w:space="0" w:color="auto"/>
        <w:left w:val="none" w:sz="0" w:space="0" w:color="auto"/>
        <w:bottom w:val="none" w:sz="0" w:space="0" w:color="auto"/>
        <w:right w:val="none" w:sz="0" w:space="0" w:color="auto"/>
      </w:divBdr>
    </w:div>
    <w:div w:id="1864975313">
      <w:bodyDiv w:val="1"/>
      <w:marLeft w:val="0"/>
      <w:marRight w:val="0"/>
      <w:marTop w:val="0"/>
      <w:marBottom w:val="0"/>
      <w:divBdr>
        <w:top w:val="none" w:sz="0" w:space="0" w:color="auto"/>
        <w:left w:val="none" w:sz="0" w:space="0" w:color="auto"/>
        <w:bottom w:val="none" w:sz="0" w:space="0" w:color="auto"/>
        <w:right w:val="none" w:sz="0" w:space="0" w:color="auto"/>
      </w:divBdr>
    </w:div>
    <w:div w:id="1894655277">
      <w:bodyDiv w:val="1"/>
      <w:marLeft w:val="0"/>
      <w:marRight w:val="0"/>
      <w:marTop w:val="0"/>
      <w:marBottom w:val="0"/>
      <w:divBdr>
        <w:top w:val="none" w:sz="0" w:space="0" w:color="auto"/>
        <w:left w:val="none" w:sz="0" w:space="0" w:color="auto"/>
        <w:bottom w:val="none" w:sz="0" w:space="0" w:color="auto"/>
        <w:right w:val="none" w:sz="0" w:space="0" w:color="auto"/>
      </w:divBdr>
    </w:div>
    <w:div w:id="1907836176">
      <w:bodyDiv w:val="1"/>
      <w:marLeft w:val="0"/>
      <w:marRight w:val="0"/>
      <w:marTop w:val="0"/>
      <w:marBottom w:val="0"/>
      <w:divBdr>
        <w:top w:val="none" w:sz="0" w:space="0" w:color="auto"/>
        <w:left w:val="none" w:sz="0" w:space="0" w:color="auto"/>
        <w:bottom w:val="none" w:sz="0" w:space="0" w:color="auto"/>
        <w:right w:val="none" w:sz="0" w:space="0" w:color="auto"/>
      </w:divBdr>
    </w:div>
    <w:div w:id="1908684157">
      <w:bodyDiv w:val="1"/>
      <w:marLeft w:val="0"/>
      <w:marRight w:val="0"/>
      <w:marTop w:val="0"/>
      <w:marBottom w:val="0"/>
      <w:divBdr>
        <w:top w:val="none" w:sz="0" w:space="0" w:color="auto"/>
        <w:left w:val="none" w:sz="0" w:space="0" w:color="auto"/>
        <w:bottom w:val="none" w:sz="0" w:space="0" w:color="auto"/>
        <w:right w:val="none" w:sz="0" w:space="0" w:color="auto"/>
      </w:divBdr>
    </w:div>
    <w:div w:id="1911034973">
      <w:bodyDiv w:val="1"/>
      <w:marLeft w:val="0"/>
      <w:marRight w:val="0"/>
      <w:marTop w:val="0"/>
      <w:marBottom w:val="0"/>
      <w:divBdr>
        <w:top w:val="none" w:sz="0" w:space="0" w:color="auto"/>
        <w:left w:val="none" w:sz="0" w:space="0" w:color="auto"/>
        <w:bottom w:val="none" w:sz="0" w:space="0" w:color="auto"/>
        <w:right w:val="none" w:sz="0" w:space="0" w:color="auto"/>
      </w:divBdr>
    </w:div>
    <w:div w:id="2020961325">
      <w:bodyDiv w:val="1"/>
      <w:marLeft w:val="0"/>
      <w:marRight w:val="0"/>
      <w:marTop w:val="0"/>
      <w:marBottom w:val="0"/>
      <w:divBdr>
        <w:top w:val="none" w:sz="0" w:space="0" w:color="auto"/>
        <w:left w:val="none" w:sz="0" w:space="0" w:color="auto"/>
        <w:bottom w:val="none" w:sz="0" w:space="0" w:color="auto"/>
        <w:right w:val="none" w:sz="0" w:space="0" w:color="auto"/>
      </w:divBdr>
    </w:div>
    <w:div w:id="2055496514">
      <w:bodyDiv w:val="1"/>
      <w:marLeft w:val="0"/>
      <w:marRight w:val="0"/>
      <w:marTop w:val="0"/>
      <w:marBottom w:val="0"/>
      <w:divBdr>
        <w:top w:val="none" w:sz="0" w:space="0" w:color="auto"/>
        <w:left w:val="none" w:sz="0" w:space="0" w:color="auto"/>
        <w:bottom w:val="none" w:sz="0" w:space="0" w:color="auto"/>
        <w:right w:val="none" w:sz="0" w:space="0" w:color="auto"/>
      </w:divBdr>
    </w:div>
    <w:div w:id="20588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m24.prego-services.de" TargetMode="External"/><Relationship Id="rId18" Type="http://schemas.openxmlformats.org/officeDocument/2006/relationships/hyperlink" Target="http://echa.europe.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atfglobaloversight.org/wp/wp-content/uploads/2016/12/Minimum-Automotive-Quality-Management-System-Requirements-for-Sub-tier-suppliers-2nd-Ed.pdf" TargetMode="External"/><Relationship Id="rId17" Type="http://schemas.openxmlformats.org/officeDocument/2006/relationships/hyperlink" Target="https://lm24.progo-service.de" TargetMode="External"/><Relationship Id="rId2" Type="http://schemas.openxmlformats.org/officeDocument/2006/relationships/customXml" Target="../customXml/item2.xml"/><Relationship Id="rId16" Type="http://schemas.openxmlformats.org/officeDocument/2006/relationships/hyperlink" Target="https://lm24.progo-servic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tfglobaloversight.org/oem-requirements/customer-specific-require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da-qmc.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ad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m24.prego-services.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c4f19ab-b7bb-4b26-87e1-7057913e064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59530C28CC9E44290388F0307319B2D" ma:contentTypeVersion="8" ma:contentTypeDescription="Ein neues Dokument erstellen." ma:contentTypeScope="" ma:versionID="4e1d4286a4405227ab9c0067a0b07336">
  <xsd:schema xmlns:xsd="http://www.w3.org/2001/XMLSchema" xmlns:xs="http://www.w3.org/2001/XMLSchema" xmlns:p="http://schemas.microsoft.com/office/2006/metadata/properties" xmlns:ns3="1c4f19ab-b7bb-4b26-87e1-7057913e064b" xmlns:ns4="88444944-2064-4165-a919-6b723413c7e3" targetNamespace="http://schemas.microsoft.com/office/2006/metadata/properties" ma:root="true" ma:fieldsID="0f81c69b3dfcbfd11c1286bced54b6b5" ns3:_="" ns4:_="">
    <xsd:import namespace="1c4f19ab-b7bb-4b26-87e1-7057913e064b"/>
    <xsd:import namespace="88444944-2064-4165-a919-6b723413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f19ab-b7bb-4b26-87e1-7057913e0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44944-2064-4165-a919-6b723413c7e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BF248-38E6-4139-A7E2-3EA3759B7E2D}">
  <ds:schemaRefs>
    <ds:schemaRef ds:uri="http://schemas.microsoft.com/sharepoint/v3/contenttype/forms"/>
  </ds:schemaRefs>
</ds:datastoreItem>
</file>

<file path=customXml/itemProps2.xml><?xml version="1.0" encoding="utf-8"?>
<ds:datastoreItem xmlns:ds="http://schemas.openxmlformats.org/officeDocument/2006/customXml" ds:itemID="{45A65ABA-42DD-4E1D-875F-344B1E8A4BE1}">
  <ds:schemaRefs>
    <ds:schemaRef ds:uri="http://schemas.microsoft.com/office/2006/metadata/properties"/>
    <ds:schemaRef ds:uri="http://schemas.microsoft.com/office/infopath/2007/PartnerControls"/>
    <ds:schemaRef ds:uri="1c4f19ab-b7bb-4b26-87e1-7057913e064b"/>
  </ds:schemaRefs>
</ds:datastoreItem>
</file>

<file path=customXml/itemProps3.xml><?xml version="1.0" encoding="utf-8"?>
<ds:datastoreItem xmlns:ds="http://schemas.openxmlformats.org/officeDocument/2006/customXml" ds:itemID="{D95FAA9A-EE4A-4B0C-AA08-05DE14066CFA}">
  <ds:schemaRefs>
    <ds:schemaRef ds:uri="http://schemas.openxmlformats.org/officeDocument/2006/bibliography"/>
  </ds:schemaRefs>
</ds:datastoreItem>
</file>

<file path=customXml/itemProps4.xml><?xml version="1.0" encoding="utf-8"?>
<ds:datastoreItem xmlns:ds="http://schemas.openxmlformats.org/officeDocument/2006/customXml" ds:itemID="{D6502DFA-1144-4DD4-B642-EC22DC83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f19ab-b7bb-4b26-87e1-7057913e064b"/>
    <ds:schemaRef ds:uri="88444944-2064-4165-a919-6b723413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12190</Words>
  <Characters>81614</Characters>
  <Application>Microsoft Office Word</Application>
  <DocSecurity>8</DocSecurity>
  <Lines>680</Lines>
  <Paragraphs>187</Paragraphs>
  <ScaleCrop>false</ScaleCrop>
  <HeadingPairs>
    <vt:vector size="2" baseType="variant">
      <vt:variant>
        <vt:lpstr>Titel</vt:lpstr>
      </vt:variant>
      <vt:variant>
        <vt:i4>1</vt:i4>
      </vt:variant>
    </vt:vector>
  </HeadingPairs>
  <TitlesOfParts>
    <vt:vector size="1" baseType="lpstr">
      <vt:lpstr>Quality assurance agreement/Qualitätssicherungsvereinbarung_Auto_DE_EN</vt:lpstr>
    </vt:vector>
  </TitlesOfParts>
  <Company>DS LCA</Company>
  <LinksUpToDate>false</LinksUpToDate>
  <CharactersWithSpaces>93617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agreement/Qualitätssicherungsvereinbarung_Auto_DE_EN</dc:title>
  <dc:subject>Erstellung am 03.09.96</dc:subject>
  <dc:creator>Diekmann, Lukas</dc:creator>
  <cp:lastModifiedBy>Bunse, Andrea</cp:lastModifiedBy>
  <cp:revision>201</cp:revision>
  <cp:lastPrinted>2025-05-07T11:37:00Z</cp:lastPrinted>
  <dcterms:created xsi:type="dcterms:W3CDTF">2025-04-29T11:59:00Z</dcterms:created>
  <dcterms:modified xsi:type="dcterms:W3CDTF">2025-05-15T07:46:00Z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0x010100B59530C28CC9E44290388F0307319B2D</vt:lpwstr>
  </property>
  <property fmtid="{D5CDD505-2E9C-101B-9397-08002B2CF9AE}" pid="3" name="_dlc_DocIdItemGuid">
    <vt:lpwstr>e3c98b99-62e0-4c07-ae11-4ad03e6a2b9b</vt:lpwstr>
  </property>
  <property fmtid="{D5CDD505-2E9C-101B-9397-08002B2CF9AE}" pid="4" name="KYSLOCATION">
    <vt:lpwstr>16;#1000 Einbeck|39d65514-fc96-4f10-880b-753da78402e7;#19;#1100 Glauchau|292e0642-ca1e-4659-bbd5-d1bcec02bb88;#3;#2000 Poland Batorowo|046ddac9-2262-441d-ad2e-c3b1aff18d5a;#5;#2100 Poland Klodzko|c6eda762-095b-4ce3-a7b0-c94a6c1aa886;#7;#3000 Spain Pamplon</vt:lpwstr>
  </property>
  <property fmtid="{D5CDD505-2E9C-101B-9397-08002B2CF9AE}" pid="5" name="KYS_LNG">
    <vt:lpwstr>8;#German|fd07a5c9-2449-4e75-8610-1ce3467cb638;#2;#English|d247a2ae-bb14-4251-8cac-db40aa78f5ce</vt:lpwstr>
  </property>
  <property fmtid="{D5CDD505-2E9C-101B-9397-08002B2CF9AE}" pid="6" name="Owner Dept.">
    <vt:lpwstr>Dirk Bretthauer</vt:lpwstr>
  </property>
  <property fmtid="{D5CDD505-2E9C-101B-9397-08002B2CF9AE}" pid="7" name="Valid for">
    <vt:lpwstr>;#1000 Einbeck;#1100 Glauchau;#2000 Poland Batorowo;#2100 Poland Klodzko;#3000 Spain Pamplona;#4000 Mexiko Puebla;#5000 Hungary Komarom;#6000 China Shuzhou;#6100 China Changchun;#7000 USA Fulton;#</vt:lpwstr>
  </property>
  <property fmtid="{D5CDD505-2E9C-101B-9397-08002B2CF9AE}" pid="8" name="LNG">
    <vt:lpwstr>;#English;#German;#</vt:lpwstr>
  </property>
</Properties>
</file>